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849" w:rsidRPr="000D0849" w:rsidRDefault="000D0849" w:rsidP="000D0849">
      <w:pPr>
        <w:ind w:left="2552" w:right="2550"/>
        <w:jc w:val="both"/>
        <w:rPr>
          <w:rFonts w:ascii="Tahoma" w:hAnsi="Tahoma" w:cs="Tahoma"/>
          <w:i/>
          <w:sz w:val="20"/>
          <w:szCs w:val="20"/>
        </w:rPr>
      </w:pPr>
      <w:r w:rsidRPr="000D0849">
        <w:rPr>
          <w:rFonts w:ascii="Tahoma" w:hAnsi="Tahoma" w:cs="Tahoma"/>
          <w:b/>
          <w:i/>
          <w:sz w:val="20"/>
          <w:szCs w:val="20"/>
        </w:rPr>
        <w:t>Sumilla:</w:t>
      </w:r>
      <w:r w:rsidRPr="000D0849">
        <w:rPr>
          <w:rFonts w:ascii="Tahoma" w:hAnsi="Tahoma" w:cs="Tahoma"/>
          <w:i/>
          <w:sz w:val="20"/>
          <w:szCs w:val="20"/>
        </w:rPr>
        <w:t xml:space="preserve"> “No es pasible de sanción el postor, que dentro de su Propuesta Técnica presenta documentos de cuyo análisis se advierte la no vulneración del Principio de Presunción de Veracidad.”</w:t>
      </w:r>
    </w:p>
    <w:p w:rsidR="000D0849" w:rsidRPr="000D0849" w:rsidRDefault="000D0849" w:rsidP="000D0849">
      <w:pPr>
        <w:ind w:left="2268" w:right="1274"/>
        <w:jc w:val="both"/>
        <w:rPr>
          <w:rFonts w:ascii="Tahoma" w:hAnsi="Tahoma" w:cs="Tahoma"/>
          <w:i/>
          <w:sz w:val="20"/>
          <w:szCs w:val="20"/>
        </w:rPr>
      </w:pPr>
    </w:p>
    <w:p w:rsidR="000D0849" w:rsidRPr="000D0849" w:rsidRDefault="000D0849" w:rsidP="000D0849">
      <w:pPr>
        <w:pStyle w:val="Textoindependiente3"/>
        <w:spacing w:after="0"/>
        <w:ind w:left="5387"/>
        <w:jc w:val="both"/>
        <w:rPr>
          <w:rFonts w:ascii="Tahoma" w:hAnsi="Tahoma" w:cs="Tahoma"/>
          <w:b/>
          <w:sz w:val="20"/>
          <w:szCs w:val="20"/>
        </w:rPr>
      </w:pPr>
      <w:r w:rsidRPr="000D0849">
        <w:rPr>
          <w:rFonts w:ascii="Tahoma" w:hAnsi="Tahoma" w:cs="Tahoma"/>
          <w:b/>
          <w:sz w:val="20"/>
          <w:szCs w:val="20"/>
        </w:rPr>
        <w:t>Lima,</w:t>
      </w:r>
      <w:r w:rsidR="005D7F62">
        <w:rPr>
          <w:rFonts w:ascii="Tahoma" w:hAnsi="Tahoma" w:cs="Tahoma"/>
          <w:b/>
          <w:sz w:val="20"/>
          <w:szCs w:val="20"/>
        </w:rPr>
        <w:t xml:space="preserve"> 27 de Julio de 2011</w:t>
      </w:r>
    </w:p>
    <w:p w:rsidR="000D0849" w:rsidRPr="000D0849" w:rsidRDefault="000D0849" w:rsidP="000D0849">
      <w:pPr>
        <w:pStyle w:val="Textoindependiente3"/>
        <w:spacing w:after="0"/>
        <w:ind w:left="5387"/>
        <w:jc w:val="both"/>
        <w:rPr>
          <w:rFonts w:ascii="Tahoma" w:hAnsi="Tahoma" w:cs="Tahoma"/>
          <w:b/>
          <w:sz w:val="20"/>
          <w:szCs w:val="20"/>
        </w:rPr>
      </w:pPr>
    </w:p>
    <w:p w:rsidR="000D0849" w:rsidRPr="000D0849" w:rsidRDefault="000D0849" w:rsidP="000D0849">
      <w:pPr>
        <w:ind w:left="567"/>
        <w:contextualSpacing/>
        <w:jc w:val="both"/>
        <w:rPr>
          <w:rFonts w:ascii="Tahoma" w:hAnsi="Tahoma" w:cs="Tahoma"/>
          <w:sz w:val="20"/>
          <w:szCs w:val="20"/>
        </w:rPr>
      </w:pPr>
      <w:r w:rsidRPr="000D0849">
        <w:rPr>
          <w:rFonts w:ascii="Tahoma" w:hAnsi="Tahoma" w:cs="Tahoma"/>
          <w:b/>
          <w:sz w:val="20"/>
          <w:szCs w:val="20"/>
        </w:rPr>
        <w:t xml:space="preserve">Visto </w:t>
      </w:r>
      <w:r w:rsidRPr="000D0849">
        <w:rPr>
          <w:rFonts w:ascii="Tahoma" w:hAnsi="Tahoma" w:cs="Tahoma"/>
          <w:sz w:val="20"/>
          <w:szCs w:val="20"/>
        </w:rPr>
        <w:t>en sesión de fecha 25 de julio de 2011 la Primera Sala del Tribunal de Contrataciones del Estado el Expediente N° 1684-2010-TC; sobre el procedimiento administrativo sancionador iniciado contra el Postor el Restaurante El Trébol de la Sra. Amalia Félix Cavero</w:t>
      </w:r>
      <w:r w:rsidRPr="000D0849">
        <w:rPr>
          <w:rFonts w:ascii="Tahoma" w:hAnsi="Tahoma" w:cs="Tahoma"/>
          <w:color w:val="000000" w:themeColor="text1"/>
          <w:sz w:val="20"/>
          <w:szCs w:val="20"/>
          <w:lang w:val="es-MX"/>
        </w:rPr>
        <w:t xml:space="preserve"> por la supuesta presentación de documentos falsos y/o inexactos ante el </w:t>
      </w:r>
      <w:r w:rsidRPr="000D0849">
        <w:rPr>
          <w:rFonts w:ascii="Tahoma" w:hAnsi="Tahoma" w:cs="Tahoma"/>
          <w:sz w:val="20"/>
          <w:szCs w:val="20"/>
        </w:rPr>
        <w:t>Hospital Regional del Cusco, en la Adjudicación Directa Selectiva Nº 001-2010-DIRESA-HRC y en atención a los siguientes:</w:t>
      </w:r>
    </w:p>
    <w:p w:rsidR="000D0849" w:rsidRPr="000D0849" w:rsidRDefault="000D0849" w:rsidP="000D0849">
      <w:pPr>
        <w:ind w:firstLine="567"/>
        <w:contextualSpacing/>
        <w:jc w:val="both"/>
        <w:rPr>
          <w:rFonts w:ascii="Tahoma" w:hAnsi="Tahoma" w:cs="Tahoma"/>
          <w:b/>
          <w:sz w:val="20"/>
          <w:szCs w:val="20"/>
          <w:lang w:val="es-ES_tradnl"/>
        </w:rPr>
      </w:pPr>
    </w:p>
    <w:p w:rsidR="000D0849" w:rsidRPr="000D0849" w:rsidRDefault="000D0849" w:rsidP="000D0849">
      <w:pPr>
        <w:pStyle w:val="Prrafodelista"/>
        <w:ind w:left="567"/>
        <w:rPr>
          <w:rFonts w:ascii="Tahoma" w:hAnsi="Tahoma" w:cs="Tahoma"/>
          <w:b/>
          <w:sz w:val="20"/>
        </w:rPr>
      </w:pPr>
      <w:r w:rsidRPr="000D0849">
        <w:rPr>
          <w:rFonts w:ascii="Tahoma" w:hAnsi="Tahoma" w:cs="Tahoma"/>
          <w:b/>
          <w:sz w:val="20"/>
        </w:rPr>
        <w:t>ANTECEDENTES:</w:t>
      </w:r>
    </w:p>
    <w:p w:rsidR="000D0849" w:rsidRPr="000D0849" w:rsidRDefault="000D0849" w:rsidP="000D0849">
      <w:pPr>
        <w:jc w:val="both"/>
        <w:rPr>
          <w:rFonts w:ascii="Tahoma" w:hAnsi="Tahoma" w:cs="Tahoma"/>
          <w:b/>
          <w:sz w:val="20"/>
          <w:szCs w:val="20"/>
          <w:lang w:eastAsia="es-PE"/>
        </w:rPr>
      </w:pPr>
    </w:p>
    <w:p w:rsidR="000D0849" w:rsidRPr="000D0849" w:rsidRDefault="000D0849" w:rsidP="000D0849">
      <w:pPr>
        <w:numPr>
          <w:ilvl w:val="0"/>
          <w:numId w:val="5"/>
        </w:numPr>
        <w:tabs>
          <w:tab w:val="clear" w:pos="720"/>
        </w:tabs>
        <w:ind w:left="567" w:hanging="567"/>
        <w:jc w:val="both"/>
        <w:rPr>
          <w:rFonts w:ascii="Tahoma" w:hAnsi="Tahoma" w:cs="Tahoma"/>
          <w:sz w:val="20"/>
          <w:szCs w:val="20"/>
        </w:rPr>
      </w:pPr>
      <w:r w:rsidRPr="000D0849">
        <w:rPr>
          <w:rFonts w:ascii="Tahoma" w:hAnsi="Tahoma" w:cs="Tahoma"/>
          <w:sz w:val="20"/>
          <w:szCs w:val="20"/>
        </w:rPr>
        <w:t>El 28 de abril de 2010, el Hospital Regional del Cusco, en lo sucesivo la Entidad, convocó al proceso de selección Adjudicación Directa Selectiva Nº 001-2010-DIRESA-HRC, para la “Contratación del servicio de atención de alimentos preparados para el personal de guardia del Hospital Regional Cusco” con un valor referencial ascendente a S/. 213 890.00 (Doscientos trece mil, ochocientos noventa con 00/100 Nuevos Soles)</w:t>
      </w:r>
    </w:p>
    <w:p w:rsidR="000D0849" w:rsidRPr="000D0849" w:rsidRDefault="000D0849" w:rsidP="000D0849">
      <w:pPr>
        <w:ind w:left="400"/>
        <w:jc w:val="both"/>
        <w:rPr>
          <w:rFonts w:ascii="Tahoma" w:hAnsi="Tahoma" w:cs="Tahoma"/>
          <w:sz w:val="20"/>
          <w:szCs w:val="20"/>
        </w:rPr>
      </w:pPr>
    </w:p>
    <w:p w:rsidR="000D0849" w:rsidRPr="000D0849" w:rsidRDefault="000D0849" w:rsidP="000D0849">
      <w:pPr>
        <w:numPr>
          <w:ilvl w:val="0"/>
          <w:numId w:val="5"/>
        </w:numPr>
        <w:tabs>
          <w:tab w:val="clear" w:pos="720"/>
        </w:tabs>
        <w:ind w:left="567" w:hanging="567"/>
        <w:jc w:val="both"/>
        <w:rPr>
          <w:rFonts w:ascii="Tahoma" w:hAnsi="Tahoma" w:cs="Tahoma"/>
          <w:sz w:val="20"/>
          <w:szCs w:val="20"/>
        </w:rPr>
      </w:pPr>
      <w:r w:rsidRPr="000D0849">
        <w:rPr>
          <w:rFonts w:ascii="Tahoma" w:hAnsi="Tahoma" w:cs="Tahoma"/>
          <w:sz w:val="20"/>
          <w:szCs w:val="20"/>
        </w:rPr>
        <w:t>El 20 de mayo de 2010, se llevó a cabo la presentación de propuestas y el acto de otorgamiento de la buena pro, la cual fue adjudicada al postor Walter Hugo Chávez Carita.</w:t>
      </w:r>
    </w:p>
    <w:p w:rsidR="000D0849" w:rsidRPr="000D0849" w:rsidRDefault="000D0849" w:rsidP="000D0849">
      <w:pPr>
        <w:pStyle w:val="Prrafodelista"/>
        <w:rPr>
          <w:rFonts w:ascii="Tahoma" w:hAnsi="Tahoma" w:cs="Tahoma"/>
          <w:sz w:val="20"/>
        </w:rPr>
      </w:pPr>
    </w:p>
    <w:p w:rsidR="000D0849" w:rsidRPr="000D0849" w:rsidRDefault="000D0849" w:rsidP="000D0849">
      <w:pPr>
        <w:numPr>
          <w:ilvl w:val="0"/>
          <w:numId w:val="5"/>
        </w:numPr>
        <w:tabs>
          <w:tab w:val="clear" w:pos="720"/>
        </w:tabs>
        <w:ind w:left="567" w:hanging="567"/>
        <w:jc w:val="both"/>
        <w:rPr>
          <w:rFonts w:ascii="Tahoma" w:hAnsi="Tahoma" w:cs="Tahoma"/>
          <w:sz w:val="20"/>
          <w:szCs w:val="20"/>
        </w:rPr>
      </w:pPr>
      <w:r w:rsidRPr="000D0849">
        <w:rPr>
          <w:rFonts w:ascii="Tahoma" w:hAnsi="Tahoma" w:cs="Tahoma"/>
          <w:sz w:val="20"/>
          <w:szCs w:val="20"/>
        </w:rPr>
        <w:t>Mediante Oficio Nº 1657-2010-DRSC-HRC.D de fecha 05 de noviembre de 2010, ingresado a Mesa de Partes del Tribunal de Contrataciones del Estado, en adelante, el Tribunal, el 23 de noviembre de 2010, la Entidad puso en conocimiento que la empresa Restaurante El Trébol de la Sra. Amalia Félix Cavero, en adelante, el Postor, quien también participó en el proceso de selección referido, habría presentado como parte de su propuesta técnica la factura Nº 127 emitida por Comercial América, supuestamente falsa, ya que el giro de negocio de la empresa Comercial América es el de la venta minoritaria de alimentos, bebidas y tabaco, y no así la de bienes electrónicos, como figura en dicha factura. A fin de demostrar lo manifestado adjunta la Factura Nº 127 y hoja impresa de la información registrada en la SUNAT donde se aprecia que el giro del negocio es la venta de de alimentos, bebidas y tabaco.</w:t>
      </w:r>
    </w:p>
    <w:p w:rsidR="000D0849" w:rsidRPr="000D0849" w:rsidRDefault="000D0849" w:rsidP="000D0849">
      <w:pPr>
        <w:pStyle w:val="Prrafodelista"/>
        <w:rPr>
          <w:rFonts w:ascii="Tahoma" w:hAnsi="Tahoma" w:cs="Tahoma"/>
          <w:sz w:val="20"/>
        </w:rPr>
      </w:pPr>
    </w:p>
    <w:p w:rsidR="000D0849" w:rsidRPr="000D0849" w:rsidRDefault="000D0849" w:rsidP="000D0849">
      <w:pPr>
        <w:numPr>
          <w:ilvl w:val="0"/>
          <w:numId w:val="5"/>
        </w:numPr>
        <w:tabs>
          <w:tab w:val="clear" w:pos="720"/>
        </w:tabs>
        <w:ind w:left="567" w:hanging="567"/>
        <w:jc w:val="both"/>
        <w:rPr>
          <w:rFonts w:ascii="Tahoma" w:hAnsi="Tahoma" w:cs="Tahoma"/>
          <w:sz w:val="20"/>
          <w:szCs w:val="20"/>
          <w:lang w:val="es-ES_tradnl"/>
        </w:rPr>
      </w:pPr>
      <w:r w:rsidRPr="000D0849">
        <w:rPr>
          <w:rFonts w:ascii="Tahoma" w:hAnsi="Tahoma" w:cs="Tahoma"/>
          <w:sz w:val="20"/>
          <w:szCs w:val="20"/>
        </w:rPr>
        <w:t xml:space="preserve">Mediante </w:t>
      </w:r>
      <w:r w:rsidRPr="000D0849">
        <w:rPr>
          <w:rFonts w:ascii="Tahoma" w:hAnsi="Tahoma" w:cs="Tahoma"/>
          <w:sz w:val="20"/>
          <w:szCs w:val="20"/>
          <w:lang w:val="es-ES_tradnl"/>
        </w:rPr>
        <w:t xml:space="preserve">decreto del 01 de febrero de 2011, este Tribunal inició procedimiento administrativo sancionador contra el Postor Restaurant “El Trébol” de Amalia Félix Cavero por su supuesta responsabilidad en la presentación del documento denominado: comprobante de pago-Factura Nº 127, presentado como parte de su propuesta técnica en el proceso de Adjudicación </w:t>
      </w:r>
      <w:r w:rsidRPr="000D0849">
        <w:rPr>
          <w:rFonts w:ascii="Tahoma" w:hAnsi="Tahoma" w:cs="Tahoma"/>
          <w:sz w:val="20"/>
          <w:szCs w:val="20"/>
        </w:rPr>
        <w:t>Directa Selectiva Nº 001-2010-DIRESA-HRC, convocado por el Hospital Regional del Cusco; y se notificó al Postor a fin que presente</w:t>
      </w:r>
      <w:r w:rsidRPr="000D0849">
        <w:rPr>
          <w:rFonts w:ascii="Tahoma" w:hAnsi="Tahoma" w:cs="Tahoma"/>
          <w:sz w:val="20"/>
          <w:szCs w:val="20"/>
          <w:lang w:val="es-ES_tradnl"/>
        </w:rPr>
        <w:t xml:space="preserve"> sus descargos en el plazo de diez (10) días hábiles.</w:t>
      </w:r>
    </w:p>
    <w:p w:rsidR="000D0849" w:rsidRPr="000D0849" w:rsidRDefault="000D0849" w:rsidP="000D0849">
      <w:pPr>
        <w:pStyle w:val="Prrafodelista"/>
        <w:rPr>
          <w:rFonts w:ascii="Tahoma" w:hAnsi="Tahoma" w:cs="Tahoma"/>
          <w:sz w:val="20"/>
        </w:rPr>
      </w:pPr>
    </w:p>
    <w:p w:rsidR="000D0849" w:rsidRPr="000D0849" w:rsidRDefault="000D0849" w:rsidP="000D0849">
      <w:pPr>
        <w:numPr>
          <w:ilvl w:val="0"/>
          <w:numId w:val="5"/>
        </w:numPr>
        <w:tabs>
          <w:tab w:val="clear" w:pos="720"/>
        </w:tabs>
        <w:ind w:left="567" w:hanging="567"/>
        <w:jc w:val="both"/>
        <w:rPr>
          <w:rFonts w:ascii="Tahoma" w:hAnsi="Tahoma" w:cs="Tahoma"/>
          <w:sz w:val="20"/>
          <w:szCs w:val="20"/>
        </w:rPr>
      </w:pPr>
      <w:r w:rsidRPr="000D0849">
        <w:rPr>
          <w:rFonts w:ascii="Tahoma" w:hAnsi="Tahoma" w:cs="Tahoma"/>
          <w:sz w:val="20"/>
          <w:szCs w:val="20"/>
          <w:lang w:val="es-ES_tradnl"/>
        </w:rPr>
        <w:t xml:space="preserve">Mediante escrito ingresado a Mesa de Partes del Tribunal, el 16 de marzo de 2011, el Postor remitió sus descargos señalando que el falso la imputación realizada por la </w:t>
      </w:r>
      <w:r w:rsidRPr="000D0849">
        <w:rPr>
          <w:rFonts w:ascii="Tahoma" w:hAnsi="Tahoma" w:cs="Tahoma"/>
          <w:sz w:val="20"/>
          <w:szCs w:val="20"/>
          <w:lang w:val="es-ES_tradnl"/>
        </w:rPr>
        <w:lastRenderedPageBreak/>
        <w:t xml:space="preserve">Entidad y que el bien conservadora-congeladora que se sustenta en la Factura Nº 127 es de su propiedad, y que físicamente se encuentra en su poder, y que la denuncia de parte de la Entidad corresponde a un acto de represalia en su contra por haber denunciado en su oportunidad ante este Tribunal, lo que a su consideración son actos irregulares cometidos por el Comité Especial durante el procedimiento del proceso de </w:t>
      </w:r>
      <w:r w:rsidRPr="000D0849">
        <w:rPr>
          <w:rFonts w:ascii="Tahoma" w:hAnsi="Tahoma" w:cs="Tahoma"/>
          <w:sz w:val="20"/>
          <w:szCs w:val="20"/>
        </w:rPr>
        <w:t>Adjudicación Directa Selectiva Nº 001-2010-DIRESA-HRC y motivo por el cual se abrió el expediente Nº 1022-2010, materia que fue resuelta mediante el Acuerdo Nº 269-2011-TC-S1 del 18 de abril de 2011 declarando no ha lugar el inicio del procedimiento administrativo sancionador en contra del postor Walter Hugo Chávez Carita.</w:t>
      </w:r>
    </w:p>
    <w:p w:rsidR="000D0849" w:rsidRPr="000D0849" w:rsidRDefault="000D0849" w:rsidP="000D0849">
      <w:pPr>
        <w:ind w:left="567"/>
        <w:jc w:val="both"/>
        <w:rPr>
          <w:rFonts w:ascii="Tahoma" w:hAnsi="Tahoma" w:cs="Tahoma"/>
          <w:sz w:val="20"/>
          <w:szCs w:val="20"/>
          <w:lang w:val="es-ES_tradnl"/>
        </w:rPr>
      </w:pPr>
    </w:p>
    <w:p w:rsidR="000D0849" w:rsidRPr="000D0849" w:rsidRDefault="000D0849" w:rsidP="000D0849">
      <w:pPr>
        <w:numPr>
          <w:ilvl w:val="0"/>
          <w:numId w:val="5"/>
        </w:numPr>
        <w:tabs>
          <w:tab w:val="clear" w:pos="720"/>
        </w:tabs>
        <w:ind w:left="567" w:hanging="567"/>
        <w:jc w:val="both"/>
        <w:rPr>
          <w:rFonts w:ascii="Tahoma" w:hAnsi="Tahoma" w:cs="Tahoma"/>
          <w:sz w:val="20"/>
          <w:szCs w:val="20"/>
          <w:lang w:val="es-ES_tradnl"/>
        </w:rPr>
      </w:pPr>
      <w:r w:rsidRPr="000D0849">
        <w:rPr>
          <w:rFonts w:ascii="Tahoma" w:hAnsi="Tahoma" w:cs="Tahoma"/>
          <w:sz w:val="20"/>
          <w:szCs w:val="20"/>
          <w:lang w:val="es-ES_tradnl"/>
        </w:rPr>
        <w:t>Sobre la imputación realizada en contra del postor Restaurant “El Trébol” de Amalia Félix Cavero, ésta señala que la Conservadora-Congeladora que adquirió y que sustenta la factura Nº 127 fue transferida notarialmente por Comercial América. Adjunta como prueba el documento que contiene dicha transferencia notarial, así como la Factura Nº 127.</w:t>
      </w:r>
    </w:p>
    <w:p w:rsidR="000D0849" w:rsidRPr="000D0849" w:rsidRDefault="000D0849" w:rsidP="000D0849">
      <w:pPr>
        <w:pStyle w:val="Prrafodelista"/>
        <w:rPr>
          <w:rFonts w:ascii="Tahoma" w:hAnsi="Tahoma" w:cs="Tahoma"/>
          <w:sz w:val="20"/>
        </w:rPr>
      </w:pPr>
    </w:p>
    <w:p w:rsidR="000D0849" w:rsidRPr="000D0849" w:rsidRDefault="000D0849" w:rsidP="000D0849">
      <w:pPr>
        <w:numPr>
          <w:ilvl w:val="0"/>
          <w:numId w:val="5"/>
        </w:numPr>
        <w:tabs>
          <w:tab w:val="clear" w:pos="720"/>
        </w:tabs>
        <w:ind w:left="567" w:hanging="567"/>
        <w:jc w:val="both"/>
        <w:rPr>
          <w:rFonts w:ascii="Tahoma" w:hAnsi="Tahoma" w:cs="Tahoma"/>
          <w:sz w:val="20"/>
          <w:szCs w:val="20"/>
          <w:lang w:val="es-ES_tradnl"/>
        </w:rPr>
      </w:pPr>
      <w:r w:rsidRPr="000D0849">
        <w:rPr>
          <w:rFonts w:ascii="Tahoma" w:hAnsi="Tahoma" w:cs="Tahoma"/>
          <w:sz w:val="20"/>
          <w:szCs w:val="20"/>
          <w:lang w:val="es-ES_tradnl"/>
        </w:rPr>
        <w:t>De otro lado, el Postor también se refirió nuevamente a, lo que a su consideración, son actos irregulares cometidos por el Comité Especial en el proceso de selección referido, señalando que este órgano se parcializó y favoreció indebidamente al señor Walter Hugo Chávez Carita otorgándole la buena pro del mencionado proceso.</w:t>
      </w:r>
    </w:p>
    <w:p w:rsidR="000D0849" w:rsidRPr="000D0849" w:rsidRDefault="000D0849" w:rsidP="000D0849">
      <w:pPr>
        <w:pStyle w:val="Prrafodelista"/>
        <w:rPr>
          <w:rFonts w:ascii="Tahoma" w:hAnsi="Tahoma" w:cs="Tahoma"/>
          <w:sz w:val="20"/>
        </w:rPr>
      </w:pPr>
    </w:p>
    <w:p w:rsidR="000D0849" w:rsidRPr="000D0849" w:rsidRDefault="000D0849" w:rsidP="000D0849">
      <w:pPr>
        <w:numPr>
          <w:ilvl w:val="0"/>
          <w:numId w:val="5"/>
        </w:numPr>
        <w:tabs>
          <w:tab w:val="clear" w:pos="720"/>
        </w:tabs>
        <w:ind w:left="567" w:hanging="567"/>
        <w:jc w:val="both"/>
        <w:rPr>
          <w:rFonts w:ascii="Tahoma" w:hAnsi="Tahoma" w:cs="Tahoma"/>
          <w:sz w:val="20"/>
          <w:szCs w:val="20"/>
          <w:lang w:val="es-ES_tradnl"/>
        </w:rPr>
      </w:pPr>
      <w:r w:rsidRPr="000D0849">
        <w:rPr>
          <w:rFonts w:ascii="Tahoma" w:hAnsi="Tahoma" w:cs="Tahoma"/>
          <w:sz w:val="20"/>
          <w:szCs w:val="20"/>
          <w:lang w:val="es-ES_tradnl"/>
        </w:rPr>
        <w:t>Mediante decreto del 21 de marzo de 2011, este Tribunal tuvo por apersonado al Postor, y remitió el expediente a la Primera Sala del Tribunal para que resuelva.</w:t>
      </w:r>
    </w:p>
    <w:p w:rsidR="000D0849" w:rsidRPr="000D0849" w:rsidRDefault="000D0849" w:rsidP="000D0849">
      <w:pPr>
        <w:pStyle w:val="Prrafodelista"/>
        <w:rPr>
          <w:rFonts w:ascii="Tahoma" w:hAnsi="Tahoma" w:cs="Tahoma"/>
          <w:sz w:val="20"/>
        </w:rPr>
      </w:pPr>
    </w:p>
    <w:p w:rsidR="000D0849" w:rsidRPr="000D0849" w:rsidRDefault="000D0849" w:rsidP="000D0849">
      <w:pPr>
        <w:numPr>
          <w:ilvl w:val="0"/>
          <w:numId w:val="5"/>
        </w:numPr>
        <w:tabs>
          <w:tab w:val="clear" w:pos="720"/>
        </w:tabs>
        <w:ind w:left="567" w:hanging="567"/>
        <w:jc w:val="both"/>
        <w:rPr>
          <w:rFonts w:ascii="Tahoma" w:hAnsi="Tahoma" w:cs="Tahoma"/>
          <w:sz w:val="20"/>
          <w:szCs w:val="20"/>
          <w:lang w:val="es-ES_tradnl"/>
        </w:rPr>
      </w:pPr>
      <w:r w:rsidRPr="000D0849">
        <w:rPr>
          <w:rFonts w:ascii="Tahoma" w:hAnsi="Tahoma" w:cs="Tahoma"/>
          <w:sz w:val="20"/>
          <w:szCs w:val="20"/>
          <w:lang w:val="es-ES_tradnl"/>
        </w:rPr>
        <w:t>Mediante escrito del 26 de noviembre de 2010, el Postor remitió un escrito al Tribunal a través del cual amplia su comunicación respecto a la denuncia que este presentó contra Walter Hugo Chávez Carita.</w:t>
      </w:r>
    </w:p>
    <w:p w:rsidR="000D0849" w:rsidRPr="000D0849" w:rsidRDefault="000D0849" w:rsidP="000D0849">
      <w:pPr>
        <w:pStyle w:val="Prrafodelista"/>
        <w:rPr>
          <w:rFonts w:ascii="Tahoma" w:hAnsi="Tahoma" w:cs="Tahoma"/>
          <w:sz w:val="20"/>
        </w:rPr>
      </w:pPr>
    </w:p>
    <w:p w:rsidR="000D0849" w:rsidRPr="000D0849" w:rsidRDefault="000D0849" w:rsidP="000D0849">
      <w:pPr>
        <w:numPr>
          <w:ilvl w:val="0"/>
          <w:numId w:val="5"/>
        </w:numPr>
        <w:tabs>
          <w:tab w:val="clear" w:pos="720"/>
        </w:tabs>
        <w:ind w:left="567" w:hanging="567"/>
        <w:jc w:val="both"/>
        <w:rPr>
          <w:rFonts w:ascii="Tahoma" w:hAnsi="Tahoma" w:cs="Tahoma"/>
          <w:sz w:val="20"/>
          <w:szCs w:val="20"/>
          <w:lang w:val="es-ES_tradnl"/>
        </w:rPr>
      </w:pPr>
      <w:r w:rsidRPr="000D0849">
        <w:rPr>
          <w:rFonts w:ascii="Tahoma" w:hAnsi="Tahoma" w:cs="Tahoma"/>
          <w:sz w:val="20"/>
          <w:szCs w:val="20"/>
          <w:lang w:val="es-ES_tradnl"/>
        </w:rPr>
        <w:t>Mediante decreto del 13 de julio de 2011 este Tribunal solicito información adicional, a fin que la Primera Sala tenga mayores elementos de juicio al momento de resolver el presente procedimiento, requiriéndose lo siguiente:</w:t>
      </w:r>
    </w:p>
    <w:p w:rsidR="000D0849" w:rsidRPr="000D0849" w:rsidRDefault="000D0849" w:rsidP="000D0849">
      <w:pPr>
        <w:jc w:val="both"/>
        <w:rPr>
          <w:rFonts w:ascii="Tahoma" w:hAnsi="Tahoma" w:cs="Tahoma"/>
          <w:sz w:val="20"/>
          <w:szCs w:val="20"/>
          <w:lang w:val="es-ES_tradnl"/>
        </w:rPr>
      </w:pPr>
    </w:p>
    <w:p w:rsidR="000D0849" w:rsidRPr="000D0849" w:rsidRDefault="000D0849" w:rsidP="000D0849">
      <w:pPr>
        <w:ind w:left="567"/>
        <w:jc w:val="both"/>
        <w:rPr>
          <w:rFonts w:ascii="Tahoma" w:hAnsi="Tahoma" w:cs="Tahoma"/>
          <w:b/>
          <w:sz w:val="20"/>
          <w:szCs w:val="20"/>
        </w:rPr>
      </w:pPr>
      <w:r w:rsidRPr="000D0849">
        <w:rPr>
          <w:rFonts w:ascii="Tahoma" w:hAnsi="Tahoma" w:cs="Tahoma"/>
          <w:b/>
          <w:sz w:val="20"/>
          <w:szCs w:val="20"/>
        </w:rPr>
        <w:t>A LA EMPRESA COMERCIAL AMERICA EIRLTDA.</w:t>
      </w:r>
    </w:p>
    <w:p w:rsidR="000D0849" w:rsidRPr="000D0849" w:rsidRDefault="000D0849" w:rsidP="000D0849">
      <w:pPr>
        <w:jc w:val="both"/>
        <w:rPr>
          <w:rFonts w:ascii="Tahoma" w:hAnsi="Tahoma" w:cs="Tahoma"/>
          <w:b/>
          <w:sz w:val="20"/>
          <w:szCs w:val="20"/>
        </w:rPr>
      </w:pPr>
    </w:p>
    <w:p w:rsidR="000D0849" w:rsidRPr="000D0849" w:rsidRDefault="000D0849" w:rsidP="000D0849">
      <w:pPr>
        <w:pStyle w:val="Prrafodelista"/>
        <w:jc w:val="both"/>
        <w:rPr>
          <w:rFonts w:ascii="Tahoma" w:hAnsi="Tahoma" w:cs="Tahoma"/>
          <w:sz w:val="20"/>
        </w:rPr>
      </w:pPr>
      <w:r w:rsidRPr="000D0849">
        <w:rPr>
          <w:rFonts w:ascii="Tahoma" w:hAnsi="Tahoma" w:cs="Tahoma"/>
          <w:sz w:val="20"/>
        </w:rPr>
        <w:t>Sírvase indicar si la Factura Nº 127 emitida por su representada y que se adjunta a la presente, es auténtica y exacta, así como remitir copia de su registro de ventas de los bienes que en ella se detallan.</w:t>
      </w:r>
    </w:p>
    <w:p w:rsidR="000D0849" w:rsidRPr="000D0849" w:rsidRDefault="000D0849" w:rsidP="000D0849">
      <w:pPr>
        <w:pStyle w:val="Prrafodelista"/>
        <w:jc w:val="both"/>
        <w:rPr>
          <w:rFonts w:ascii="Tahoma" w:hAnsi="Tahoma" w:cs="Tahoma"/>
          <w:sz w:val="20"/>
        </w:rPr>
      </w:pPr>
    </w:p>
    <w:p w:rsidR="000D0849" w:rsidRPr="000D0849" w:rsidRDefault="000D0849" w:rsidP="000D0849">
      <w:pPr>
        <w:ind w:left="567"/>
        <w:jc w:val="both"/>
        <w:rPr>
          <w:rFonts w:ascii="Tahoma" w:hAnsi="Tahoma" w:cs="Tahoma"/>
          <w:b/>
          <w:sz w:val="20"/>
          <w:szCs w:val="20"/>
        </w:rPr>
      </w:pPr>
      <w:r w:rsidRPr="000D0849">
        <w:rPr>
          <w:rFonts w:ascii="Tahoma" w:hAnsi="Tahoma" w:cs="Tahoma"/>
          <w:b/>
          <w:sz w:val="20"/>
          <w:szCs w:val="20"/>
        </w:rPr>
        <w:t>A LA SUNAT:</w:t>
      </w:r>
    </w:p>
    <w:p w:rsidR="000D0849" w:rsidRPr="000D0849" w:rsidRDefault="000D0849" w:rsidP="000D0849">
      <w:pPr>
        <w:jc w:val="both"/>
        <w:rPr>
          <w:rFonts w:ascii="Tahoma" w:hAnsi="Tahoma" w:cs="Tahoma"/>
          <w:b/>
          <w:sz w:val="20"/>
          <w:szCs w:val="20"/>
        </w:rPr>
      </w:pPr>
    </w:p>
    <w:p w:rsidR="000D0849" w:rsidRPr="000D0849" w:rsidRDefault="000D0849" w:rsidP="000D0849">
      <w:pPr>
        <w:pStyle w:val="Prrafodelista"/>
        <w:jc w:val="both"/>
        <w:rPr>
          <w:rFonts w:ascii="Tahoma" w:hAnsi="Tahoma" w:cs="Tahoma"/>
          <w:sz w:val="20"/>
        </w:rPr>
      </w:pPr>
      <w:r w:rsidRPr="000D0849">
        <w:rPr>
          <w:rFonts w:ascii="Tahoma" w:hAnsi="Tahoma" w:cs="Tahoma"/>
          <w:sz w:val="20"/>
        </w:rPr>
        <w:t>Sírvase indicar si la Factura Nº 127 emitida por Comercial América, que se adjunta a la presente puede ser emitida por ella teniendo en cuenta que su actividad económica registrada en la SUNAT es: CIIU 5220-venta minoritaria de alimentos, bebidas y tabaco.</w:t>
      </w:r>
    </w:p>
    <w:p w:rsidR="000D0849" w:rsidRPr="000D0849" w:rsidRDefault="000D0849" w:rsidP="000D0849">
      <w:pPr>
        <w:jc w:val="both"/>
        <w:rPr>
          <w:rFonts w:ascii="Tahoma" w:hAnsi="Tahoma" w:cs="Tahoma"/>
          <w:sz w:val="20"/>
        </w:rPr>
      </w:pPr>
    </w:p>
    <w:p w:rsidR="000D0849" w:rsidRPr="000D0849" w:rsidRDefault="000D0849" w:rsidP="000D0849">
      <w:pPr>
        <w:ind w:left="567"/>
        <w:jc w:val="both"/>
        <w:rPr>
          <w:rFonts w:ascii="Tahoma" w:hAnsi="Tahoma" w:cs="Tahoma"/>
          <w:b/>
          <w:sz w:val="20"/>
          <w:szCs w:val="20"/>
          <w:lang w:val="es-ES_tradnl"/>
        </w:rPr>
      </w:pPr>
      <w:r w:rsidRPr="000D0849">
        <w:rPr>
          <w:rFonts w:ascii="Tahoma" w:hAnsi="Tahoma" w:cs="Tahoma"/>
          <w:b/>
          <w:sz w:val="20"/>
          <w:szCs w:val="20"/>
          <w:lang w:val="es-ES_tradnl"/>
        </w:rPr>
        <w:t>A LA ENTIDAD:</w:t>
      </w:r>
    </w:p>
    <w:p w:rsidR="000D0849" w:rsidRPr="000D0849" w:rsidRDefault="000D0849" w:rsidP="000D0849">
      <w:pPr>
        <w:ind w:left="567"/>
        <w:jc w:val="both"/>
        <w:rPr>
          <w:rFonts w:ascii="Tahoma" w:hAnsi="Tahoma" w:cs="Tahoma"/>
          <w:b/>
          <w:sz w:val="20"/>
          <w:szCs w:val="20"/>
          <w:lang w:val="es-ES_tradnl"/>
        </w:rPr>
      </w:pPr>
    </w:p>
    <w:p w:rsidR="000D0849" w:rsidRPr="000D0849" w:rsidRDefault="000D0849" w:rsidP="000D0849">
      <w:pPr>
        <w:pStyle w:val="Prrafodelista"/>
        <w:jc w:val="both"/>
        <w:rPr>
          <w:rFonts w:ascii="Tahoma" w:hAnsi="Tahoma" w:cs="Tahoma"/>
          <w:sz w:val="20"/>
        </w:rPr>
      </w:pPr>
      <w:r w:rsidRPr="000D0849">
        <w:rPr>
          <w:rFonts w:ascii="Tahoma" w:hAnsi="Tahoma" w:cs="Tahoma"/>
          <w:sz w:val="20"/>
        </w:rPr>
        <w:t xml:space="preserve">Sírvase indicar y remitir los documentos correspondientes al resultado de la fiscalización posterior llevada a cabo por su representada a fin de determinar la responsabilidad de la empresa Restaurante “El Trébol” de Amalia Félix Cavero por la presentación de documentación supuestamente falsa y/o inexacta, consistente en la Factura Nº 127 </w:t>
      </w:r>
      <w:r w:rsidRPr="000D0849">
        <w:rPr>
          <w:rFonts w:ascii="Tahoma" w:hAnsi="Tahoma" w:cs="Tahoma"/>
          <w:sz w:val="20"/>
        </w:rPr>
        <w:lastRenderedPageBreak/>
        <w:t>emitida por la empresa Comercial América, a consideración de su representada porque ésta última tiene una actividad económica (venta minoritaria de alimentos, bebidas y tabaco) distinta a la venta de los artículos referidos en la señalada Factura (mesclador, parlantes, micrófonos, conservadora); situación que fue denunciada por su representada mediante el Oficio Nº 1657-2010-DRSC-HRC.D  y que ingresó a Mesa de Partes de este Tribunal, a través de la Oficina desconcentrada del Cusco el 23 de noviembre de 2010.</w:t>
      </w:r>
    </w:p>
    <w:p w:rsidR="000D0849" w:rsidRPr="000D0849" w:rsidRDefault="000D0849" w:rsidP="000D0849">
      <w:pPr>
        <w:pStyle w:val="Prrafodelista"/>
        <w:jc w:val="both"/>
        <w:rPr>
          <w:rFonts w:ascii="Tahoma" w:hAnsi="Tahoma" w:cs="Tahoma"/>
          <w:sz w:val="20"/>
        </w:rPr>
      </w:pPr>
    </w:p>
    <w:p w:rsidR="000D0849" w:rsidRPr="000D0849" w:rsidRDefault="000D0849" w:rsidP="000D0849">
      <w:pPr>
        <w:numPr>
          <w:ilvl w:val="0"/>
          <w:numId w:val="5"/>
        </w:numPr>
        <w:tabs>
          <w:tab w:val="clear" w:pos="720"/>
        </w:tabs>
        <w:ind w:left="567" w:hanging="567"/>
        <w:jc w:val="both"/>
        <w:rPr>
          <w:rFonts w:ascii="Tahoma" w:hAnsi="Tahoma" w:cs="Tahoma"/>
          <w:sz w:val="20"/>
          <w:szCs w:val="20"/>
          <w:lang w:val="es-ES_tradnl"/>
        </w:rPr>
      </w:pPr>
      <w:r w:rsidRPr="000D0849">
        <w:rPr>
          <w:rFonts w:ascii="Tahoma" w:hAnsi="Tahoma" w:cs="Tahoma"/>
          <w:sz w:val="20"/>
          <w:szCs w:val="20"/>
          <w:lang w:val="es-ES_tradnl"/>
        </w:rPr>
        <w:t>Sobre el particular, la Entidad remitió el 18 de julio de 2011 ante la oficina desconcentrada del Cusco el Oficio Nº 1158-2011 mediante el cual remitió el Informe Nº 002-2010-HRC-OCI, que ya obraba en el expediente, y que no fue lo solicitado por este Tribunal, por lo que corresponde poner en conocimiento de este hecho al órgano de control interno de la Entidad y de la Contraloría General de la República.</w:t>
      </w:r>
    </w:p>
    <w:p w:rsidR="000D0849" w:rsidRPr="000D0849" w:rsidRDefault="000D0849" w:rsidP="000D0849">
      <w:pPr>
        <w:ind w:left="567"/>
        <w:jc w:val="both"/>
        <w:rPr>
          <w:rFonts w:ascii="Tahoma" w:hAnsi="Tahoma" w:cs="Tahoma"/>
          <w:sz w:val="20"/>
          <w:szCs w:val="20"/>
          <w:lang w:val="es-ES_tradnl"/>
        </w:rPr>
      </w:pPr>
    </w:p>
    <w:p w:rsidR="000D0849" w:rsidRPr="000D0849" w:rsidRDefault="000D0849" w:rsidP="000D0849">
      <w:pPr>
        <w:numPr>
          <w:ilvl w:val="0"/>
          <w:numId w:val="5"/>
        </w:numPr>
        <w:tabs>
          <w:tab w:val="clear" w:pos="720"/>
        </w:tabs>
        <w:ind w:left="567" w:hanging="567"/>
        <w:jc w:val="both"/>
        <w:rPr>
          <w:rFonts w:ascii="Tahoma" w:hAnsi="Tahoma" w:cs="Tahoma"/>
          <w:sz w:val="20"/>
          <w:szCs w:val="20"/>
          <w:lang w:val="es-ES_tradnl"/>
        </w:rPr>
      </w:pPr>
      <w:r w:rsidRPr="000D0849">
        <w:rPr>
          <w:rFonts w:ascii="Tahoma" w:hAnsi="Tahoma" w:cs="Tahoma"/>
          <w:sz w:val="20"/>
          <w:szCs w:val="20"/>
          <w:lang w:val="es-ES_tradnl"/>
        </w:rPr>
        <w:t xml:space="preserve">Mediante decreto del 22 de julio de 2011, y </w:t>
      </w:r>
      <w:r w:rsidRPr="000D0849">
        <w:rPr>
          <w:rFonts w:ascii="Tahoma" w:hAnsi="Tahoma" w:cs="Tahoma"/>
          <w:sz w:val="20"/>
          <w:szCs w:val="20"/>
        </w:rPr>
        <w:t xml:space="preserve">no habiendo ubicado nuevo domicilio cierto y real </w:t>
      </w:r>
      <w:r w:rsidRPr="000D0849">
        <w:rPr>
          <w:rFonts w:ascii="Tahoma" w:hAnsi="Tahoma" w:cs="Tahoma"/>
          <w:sz w:val="20"/>
          <w:szCs w:val="20"/>
          <w:lang w:val="es-ES_tradnl"/>
        </w:rPr>
        <w:t>de la empresa Comercial América EIRLtda</w:t>
      </w:r>
      <w:r w:rsidRPr="000D0849">
        <w:rPr>
          <w:rFonts w:ascii="Tahoma" w:hAnsi="Tahoma" w:cs="Tahoma"/>
          <w:b/>
          <w:sz w:val="20"/>
          <w:szCs w:val="20"/>
          <w:lang w:val="es-ES_tradnl"/>
        </w:rPr>
        <w:t xml:space="preserve">, </w:t>
      </w:r>
      <w:r w:rsidRPr="000D0849">
        <w:rPr>
          <w:rStyle w:val="Textoennegrita"/>
          <w:rFonts w:ascii="Tahoma" w:hAnsi="Tahoma" w:cs="Tahoma"/>
          <w:sz w:val="20"/>
          <w:szCs w:val="20"/>
        </w:rPr>
        <w:t>se dejó constancia</w:t>
      </w:r>
      <w:r w:rsidRPr="000D0849">
        <w:rPr>
          <w:rFonts w:ascii="Tahoma" w:hAnsi="Tahoma" w:cs="Tahoma"/>
          <w:sz w:val="20"/>
          <w:szCs w:val="20"/>
        </w:rPr>
        <w:t xml:space="preserve"> que se agotaron todas las gestiones tendientes a conocer el domicilio. Cabe señalar que dicha empresa se encuentra en el estado de baja de oficio según reporte de la SUNAT.</w:t>
      </w:r>
    </w:p>
    <w:p w:rsidR="000D0849" w:rsidRPr="000D0849" w:rsidRDefault="000D0849" w:rsidP="000D0849">
      <w:pPr>
        <w:pStyle w:val="Prrafodelista"/>
        <w:rPr>
          <w:rFonts w:ascii="Tahoma" w:hAnsi="Tahoma" w:cs="Tahoma"/>
          <w:b/>
          <w:sz w:val="20"/>
        </w:rPr>
      </w:pPr>
    </w:p>
    <w:p w:rsidR="000D0849" w:rsidRPr="000D0849" w:rsidRDefault="000D0849" w:rsidP="000D0849">
      <w:pPr>
        <w:numPr>
          <w:ilvl w:val="0"/>
          <w:numId w:val="5"/>
        </w:numPr>
        <w:tabs>
          <w:tab w:val="clear" w:pos="720"/>
        </w:tabs>
        <w:ind w:left="567" w:hanging="567"/>
        <w:jc w:val="both"/>
        <w:rPr>
          <w:rFonts w:ascii="Tahoma" w:hAnsi="Tahoma" w:cs="Tahoma"/>
          <w:sz w:val="20"/>
          <w:szCs w:val="20"/>
          <w:lang w:val="es-ES_tradnl"/>
        </w:rPr>
      </w:pPr>
      <w:r w:rsidRPr="000D0849">
        <w:rPr>
          <w:rFonts w:ascii="Tahoma" w:hAnsi="Tahoma" w:cs="Tahoma"/>
          <w:sz w:val="20"/>
          <w:szCs w:val="20"/>
          <w:lang w:val="es-ES_tradnl"/>
        </w:rPr>
        <w:t>De otro lado, cabe advertir que la SUNAT no ha remitido la información solicitada por este tribunal.</w:t>
      </w:r>
    </w:p>
    <w:p w:rsidR="000D0849" w:rsidRPr="000D0849" w:rsidRDefault="000D0849" w:rsidP="000D0849">
      <w:pPr>
        <w:contextualSpacing/>
        <w:jc w:val="both"/>
        <w:rPr>
          <w:rFonts w:ascii="Tahoma" w:hAnsi="Tahoma" w:cs="Tahoma"/>
          <w:sz w:val="20"/>
          <w:szCs w:val="20"/>
          <w:lang w:val="es-ES_tradnl"/>
        </w:rPr>
      </w:pPr>
    </w:p>
    <w:p w:rsidR="000D0849" w:rsidRPr="000D0849" w:rsidRDefault="000D0849" w:rsidP="000D0849">
      <w:pPr>
        <w:pStyle w:val="Prrafodelista"/>
        <w:ind w:left="567"/>
        <w:jc w:val="both"/>
        <w:rPr>
          <w:rFonts w:ascii="Tahoma" w:hAnsi="Tahoma" w:cs="Tahoma"/>
          <w:b/>
          <w:shadow/>
          <w:sz w:val="20"/>
        </w:rPr>
      </w:pPr>
      <w:r w:rsidRPr="000D0849">
        <w:rPr>
          <w:rFonts w:ascii="Tahoma" w:hAnsi="Tahoma" w:cs="Tahoma"/>
          <w:b/>
          <w:sz w:val="20"/>
        </w:rPr>
        <w:t>FUNDAMENTACIÓN:</w:t>
      </w:r>
    </w:p>
    <w:p w:rsidR="000D0849" w:rsidRPr="000D0849" w:rsidRDefault="000D0849" w:rsidP="000D0849">
      <w:pPr>
        <w:pStyle w:val="Prrafodelista"/>
        <w:ind w:left="567"/>
        <w:jc w:val="both"/>
        <w:rPr>
          <w:rFonts w:ascii="Tahoma" w:hAnsi="Tahoma" w:cs="Tahoma"/>
          <w:b/>
          <w:shadow/>
          <w:sz w:val="20"/>
        </w:rPr>
      </w:pPr>
    </w:p>
    <w:p w:rsidR="000D0849" w:rsidRPr="000D0849" w:rsidRDefault="000D0849" w:rsidP="000D0849">
      <w:pPr>
        <w:pStyle w:val="Textoindependiente"/>
        <w:widowControl w:val="0"/>
        <w:numPr>
          <w:ilvl w:val="0"/>
          <w:numId w:val="4"/>
        </w:numPr>
        <w:tabs>
          <w:tab w:val="left" w:pos="2410"/>
        </w:tabs>
        <w:suppressAutoHyphens/>
        <w:spacing w:after="0"/>
        <w:ind w:left="567" w:hanging="567"/>
        <w:jc w:val="both"/>
        <w:rPr>
          <w:rFonts w:ascii="Tahoma" w:hAnsi="Tahoma" w:cs="Tahoma"/>
          <w:sz w:val="20"/>
          <w:szCs w:val="20"/>
          <w:lang w:val="es-PE"/>
        </w:rPr>
      </w:pPr>
      <w:r w:rsidRPr="000D0849">
        <w:rPr>
          <w:rFonts w:ascii="Tahoma" w:hAnsi="Tahoma" w:cs="Tahoma"/>
          <w:sz w:val="20"/>
          <w:szCs w:val="20"/>
          <w:lang w:val="es-ES_tradnl"/>
        </w:rPr>
        <w:t xml:space="preserve">El presente proceso está referido </w:t>
      </w:r>
      <w:r w:rsidRPr="000D0849">
        <w:rPr>
          <w:rFonts w:ascii="Tahoma" w:hAnsi="Tahoma" w:cs="Tahoma"/>
          <w:sz w:val="20"/>
          <w:szCs w:val="20"/>
        </w:rPr>
        <w:t>a la supuesta responsabilidad del Postor, por haber participado en Adjudicación Directa Selectiva Nº 001-2010-DIRESA-HRC, para la “Contratación del servicio de atención de alimentos preparados para el personal de guardia del Hospital Regional Cusco”</w:t>
      </w:r>
      <w:r w:rsidRPr="000D0849">
        <w:rPr>
          <w:rFonts w:ascii="Tahoma" w:hAnsi="Tahoma" w:cs="Tahoma"/>
          <w:spacing w:val="-2"/>
          <w:sz w:val="20"/>
          <w:szCs w:val="20"/>
        </w:rPr>
        <w:t xml:space="preserve">, imputándosele la </w:t>
      </w:r>
      <w:r w:rsidRPr="000D0849">
        <w:rPr>
          <w:rFonts w:ascii="Tahoma" w:hAnsi="Tahoma" w:cs="Tahoma"/>
          <w:sz w:val="20"/>
          <w:szCs w:val="20"/>
        </w:rPr>
        <w:t>presentación de un documento falso o información inexacta a la Entidad,  infracción tipificada en el literal i), del numeral 51.1 del artículo 51 de la Ley de Contrataciones del Estado, aprobado por Decreto Legislativo Nº 1017; en adelante, la Ley norma vigente al momento de la producción de los hechos denunciados.</w:t>
      </w:r>
    </w:p>
    <w:p w:rsidR="000D0849" w:rsidRPr="000D0849" w:rsidRDefault="000D0849" w:rsidP="000D0849">
      <w:pPr>
        <w:pStyle w:val="Textoindependiente"/>
        <w:widowControl w:val="0"/>
        <w:tabs>
          <w:tab w:val="left" w:pos="2410"/>
        </w:tabs>
        <w:suppressAutoHyphens/>
        <w:spacing w:after="0"/>
        <w:jc w:val="both"/>
        <w:rPr>
          <w:rFonts w:ascii="Tahoma" w:hAnsi="Tahoma" w:cs="Tahoma"/>
          <w:sz w:val="20"/>
          <w:szCs w:val="20"/>
          <w:lang w:val="es-PE"/>
        </w:rPr>
      </w:pPr>
    </w:p>
    <w:p w:rsidR="000D0849" w:rsidRPr="000D0849" w:rsidRDefault="000D0849" w:rsidP="000D0849">
      <w:pPr>
        <w:pStyle w:val="Textoindependiente"/>
        <w:widowControl w:val="0"/>
        <w:numPr>
          <w:ilvl w:val="0"/>
          <w:numId w:val="4"/>
        </w:numPr>
        <w:tabs>
          <w:tab w:val="left" w:pos="2410"/>
        </w:tabs>
        <w:suppressAutoHyphens/>
        <w:spacing w:after="0"/>
        <w:ind w:left="567" w:hanging="567"/>
        <w:jc w:val="both"/>
        <w:rPr>
          <w:rFonts w:ascii="Tahoma" w:hAnsi="Tahoma" w:cs="Tahoma"/>
          <w:sz w:val="20"/>
          <w:szCs w:val="20"/>
          <w:lang w:val="es-PE"/>
        </w:rPr>
      </w:pPr>
      <w:r w:rsidRPr="000D0849">
        <w:rPr>
          <w:rFonts w:ascii="Tahoma" w:hAnsi="Tahoma" w:cs="Tahoma"/>
          <w:sz w:val="20"/>
          <w:szCs w:val="20"/>
        </w:rPr>
        <w:t>Al</w:t>
      </w:r>
      <w:r w:rsidRPr="000D0849">
        <w:rPr>
          <w:rFonts w:ascii="Tahoma" w:hAnsi="Tahoma" w:cs="Tahoma"/>
          <w:sz w:val="20"/>
          <w:szCs w:val="20"/>
          <w:lang w:val="es-PE"/>
        </w:rPr>
        <w:t xml:space="preserve"> respecto</w:t>
      </w:r>
      <w:r w:rsidRPr="000D0849">
        <w:rPr>
          <w:rFonts w:ascii="Tahoma" w:hAnsi="Tahoma" w:cs="Tahoma"/>
          <w:sz w:val="20"/>
          <w:szCs w:val="20"/>
          <w:lang w:val="es-ES_tradnl"/>
        </w:rPr>
        <w:t xml:space="preserve">, y como marco referencial, debemos tener presente que el literal i) del numeral 51.1 del artículo 51 de la Ley </w:t>
      </w:r>
      <w:r w:rsidRPr="000D0849">
        <w:rPr>
          <w:rFonts w:ascii="Tahoma" w:hAnsi="Tahoma" w:cs="Tahoma"/>
          <w:sz w:val="20"/>
          <w:szCs w:val="20"/>
          <w:lang w:val="es-PE"/>
        </w:rPr>
        <w:t>establece que los proveedores, participantes, postores y/o contratistas incurrirán en infracción susceptible de sanción cuando presenten documentos falsos o información inexacta a las Entidades, al Tribunal o al OSCE; asimismo, dicha infracción se configura con la sola presentación del documento falso o inexacto, sin que la norma exija otros factores adicionales.</w:t>
      </w:r>
    </w:p>
    <w:p w:rsidR="000D0849" w:rsidRPr="000D0849" w:rsidRDefault="000D0849" w:rsidP="000D0849">
      <w:pPr>
        <w:pStyle w:val="Prrafodelista"/>
        <w:rPr>
          <w:rFonts w:ascii="Tahoma" w:hAnsi="Tahoma" w:cs="Tahoma"/>
          <w:sz w:val="20"/>
          <w:lang w:val="es-PE"/>
        </w:rPr>
      </w:pPr>
    </w:p>
    <w:p w:rsidR="000D0849" w:rsidRPr="000D0849" w:rsidRDefault="000D0849" w:rsidP="000D0849">
      <w:pPr>
        <w:pStyle w:val="Textoindependiente"/>
        <w:widowControl w:val="0"/>
        <w:numPr>
          <w:ilvl w:val="0"/>
          <w:numId w:val="4"/>
        </w:numPr>
        <w:tabs>
          <w:tab w:val="left" w:pos="2410"/>
        </w:tabs>
        <w:suppressAutoHyphens/>
        <w:spacing w:after="0"/>
        <w:ind w:left="567" w:hanging="567"/>
        <w:jc w:val="both"/>
        <w:rPr>
          <w:rFonts w:ascii="Tahoma" w:hAnsi="Tahoma" w:cs="Tahoma"/>
          <w:sz w:val="20"/>
          <w:szCs w:val="20"/>
          <w:lang w:val="es-PE"/>
        </w:rPr>
      </w:pPr>
      <w:r w:rsidRPr="000D0849">
        <w:rPr>
          <w:rFonts w:ascii="Tahoma" w:hAnsi="Tahoma" w:cs="Tahoma"/>
          <w:sz w:val="20"/>
          <w:szCs w:val="20"/>
          <w:lang w:val="es-PE"/>
        </w:rPr>
        <w:t xml:space="preserve">Para la configuración de los supuestos de hecho de la norma que contiene la infracción imputada se requiere acreditar la falsedad o inexactitud del documento cuestionado; es decir, que éste no haya sido expedido por el órgano emisor correspondiente, o que siendo válidamente expedido haya sido adulterado en su contenido, o que éste sea incongruente con la realidad, produciendo un falseamiento de ésta, a través del quebrantamiento del </w:t>
      </w:r>
      <w:r w:rsidRPr="000D0849">
        <w:rPr>
          <w:rFonts w:ascii="Tahoma" w:hAnsi="Tahoma" w:cs="Tahoma"/>
          <w:i/>
          <w:sz w:val="20"/>
          <w:szCs w:val="20"/>
          <w:lang w:val="es-PE"/>
        </w:rPr>
        <w:t>Principio de Moralidad</w:t>
      </w:r>
      <w:r w:rsidRPr="000D0849">
        <w:rPr>
          <w:rFonts w:ascii="Tahoma" w:hAnsi="Tahoma" w:cs="Tahoma"/>
          <w:sz w:val="20"/>
          <w:szCs w:val="20"/>
          <w:lang w:val="es-PE"/>
        </w:rPr>
        <w:t>, de conformidad con lo establecido en el literal b) del artículo 4 de la Ley, en concordancia con lo dispuesto en el numeral 1.7 del Artículo IV del Título Preliminar y el numeral 42.1 del artículo 42 de la Ley del Procedimiento Administrativo General, Ley Nº 27444.</w:t>
      </w:r>
    </w:p>
    <w:p w:rsidR="000D0849" w:rsidRPr="000D0849" w:rsidRDefault="000D0849" w:rsidP="000D0849">
      <w:pPr>
        <w:pStyle w:val="Prrafodelista"/>
        <w:rPr>
          <w:rFonts w:ascii="Tahoma" w:hAnsi="Tahoma" w:cs="Tahoma"/>
          <w:sz w:val="20"/>
        </w:rPr>
      </w:pPr>
    </w:p>
    <w:p w:rsidR="000D0849" w:rsidRPr="000D0849" w:rsidRDefault="000D0849" w:rsidP="000D0849">
      <w:pPr>
        <w:pStyle w:val="Textoindependiente"/>
        <w:widowControl w:val="0"/>
        <w:numPr>
          <w:ilvl w:val="0"/>
          <w:numId w:val="4"/>
        </w:numPr>
        <w:tabs>
          <w:tab w:val="left" w:pos="2410"/>
        </w:tabs>
        <w:suppressAutoHyphens/>
        <w:spacing w:after="0"/>
        <w:ind w:left="567" w:hanging="567"/>
        <w:jc w:val="both"/>
        <w:rPr>
          <w:rFonts w:ascii="Tahoma" w:hAnsi="Tahoma" w:cs="Tahoma"/>
          <w:sz w:val="20"/>
          <w:szCs w:val="20"/>
          <w:lang w:val="es-PE"/>
        </w:rPr>
      </w:pPr>
      <w:r w:rsidRPr="000D0849">
        <w:rPr>
          <w:rFonts w:ascii="Tahoma" w:hAnsi="Tahoma" w:cs="Tahoma"/>
          <w:sz w:val="20"/>
          <w:szCs w:val="20"/>
        </w:rPr>
        <w:lastRenderedPageBreak/>
        <w:t xml:space="preserve">Asimismo, </w:t>
      </w:r>
      <w:r w:rsidRPr="000D0849">
        <w:rPr>
          <w:rFonts w:ascii="Tahoma" w:hAnsi="Tahoma" w:cs="Tahoma"/>
          <w:sz w:val="20"/>
          <w:szCs w:val="20"/>
          <w:lang w:val="es-MX"/>
        </w:rPr>
        <w:t>el artículo 42 de la Ley de Procedimiento Administrativo General, establece que todas las declaraciones juradas, los documentos sucedáneos presentados y la información incluida en los escritos y formularios que presenten los administrados para la realización de procedimientos administrativos, se presumen verificados por quien hace uso de ellos, así como de contenido veraz para fines administrativos. Sin embargo, esta presunción admite prueba en contrario, es decir, corresponde a la Administración Pública constatar que la información y documentación proporcionada se ajuste a la realidad y a los hechos.</w:t>
      </w:r>
    </w:p>
    <w:p w:rsidR="000D0849" w:rsidRPr="000D0849" w:rsidRDefault="000D0849" w:rsidP="000D0849">
      <w:pPr>
        <w:pStyle w:val="Prrafodelista"/>
        <w:rPr>
          <w:rFonts w:ascii="Tahoma" w:hAnsi="Tahoma" w:cs="Tahoma"/>
          <w:sz w:val="20"/>
          <w:lang w:val="es-PE"/>
        </w:rPr>
      </w:pPr>
    </w:p>
    <w:p w:rsidR="000D0849" w:rsidRPr="000D0849" w:rsidRDefault="000D0849" w:rsidP="000D0849">
      <w:pPr>
        <w:pStyle w:val="Textoindependiente"/>
        <w:widowControl w:val="0"/>
        <w:tabs>
          <w:tab w:val="left" w:pos="2410"/>
        </w:tabs>
        <w:suppressAutoHyphens/>
        <w:spacing w:after="0"/>
        <w:ind w:left="567"/>
        <w:jc w:val="both"/>
        <w:rPr>
          <w:rFonts w:ascii="Tahoma" w:hAnsi="Tahoma" w:cs="Tahoma"/>
          <w:sz w:val="20"/>
          <w:szCs w:val="20"/>
          <w:lang w:val="es-PE"/>
        </w:rPr>
      </w:pPr>
      <w:r w:rsidRPr="000D0849">
        <w:rPr>
          <w:rFonts w:ascii="Tahoma" w:hAnsi="Tahoma" w:cs="Tahoma"/>
          <w:sz w:val="20"/>
          <w:szCs w:val="20"/>
          <w:lang w:val="es-PE"/>
        </w:rPr>
        <w:t>Concordante con lo manifestado, el inciso 4) del artículo 56 del mismo cuerpo legal, estipula como uno de los deberes generales de los administrados, la comprobación de la autenticidad previamente a su presentación ante la entidad, de la documentación sucedánea y de cualquier otra información que se ampare en la presunción de veracidad.</w:t>
      </w:r>
    </w:p>
    <w:p w:rsidR="000D0849" w:rsidRPr="000D0849" w:rsidRDefault="000D0849" w:rsidP="000D0849">
      <w:pPr>
        <w:pStyle w:val="Prrafodelista"/>
        <w:rPr>
          <w:rFonts w:ascii="Tahoma" w:hAnsi="Tahoma" w:cs="Tahoma"/>
          <w:sz w:val="20"/>
          <w:lang w:val="es-PE"/>
        </w:rPr>
      </w:pPr>
    </w:p>
    <w:p w:rsidR="000D0849" w:rsidRPr="000D0849" w:rsidRDefault="000D0849" w:rsidP="000D0849">
      <w:pPr>
        <w:pStyle w:val="Prrafodelista"/>
        <w:widowControl/>
        <w:numPr>
          <w:ilvl w:val="0"/>
          <w:numId w:val="4"/>
        </w:numPr>
        <w:suppressAutoHyphens w:val="0"/>
        <w:ind w:left="567" w:hanging="567"/>
        <w:contextualSpacing/>
        <w:jc w:val="both"/>
        <w:rPr>
          <w:rFonts w:ascii="Tahoma" w:hAnsi="Tahoma" w:cs="Tahoma"/>
          <w:sz w:val="20"/>
          <w:lang w:val="es-PE"/>
        </w:rPr>
      </w:pPr>
      <w:r w:rsidRPr="000D0849">
        <w:rPr>
          <w:rFonts w:ascii="Tahoma" w:hAnsi="Tahoma" w:cs="Tahoma"/>
          <w:sz w:val="20"/>
          <w:lang w:val="es-PE"/>
        </w:rPr>
        <w:t>Ahora bien, de los documentos obrante en autos, se puede advertir que la imputación al Contratista, está referida a lo siguiente:</w:t>
      </w:r>
    </w:p>
    <w:p w:rsidR="000D0849" w:rsidRPr="000D0849" w:rsidRDefault="000D0849" w:rsidP="000D0849">
      <w:pPr>
        <w:pStyle w:val="Prrafodelista"/>
        <w:rPr>
          <w:rFonts w:ascii="Tahoma" w:hAnsi="Tahoma" w:cs="Tahoma"/>
          <w:sz w:val="20"/>
          <w:lang w:val="es-PE"/>
        </w:rPr>
      </w:pPr>
    </w:p>
    <w:p w:rsidR="000D0849" w:rsidRPr="000D0849" w:rsidRDefault="000D0849" w:rsidP="000D0849">
      <w:pPr>
        <w:pStyle w:val="Prrafodelista"/>
        <w:widowControl/>
        <w:numPr>
          <w:ilvl w:val="0"/>
          <w:numId w:val="3"/>
        </w:numPr>
        <w:suppressAutoHyphens w:val="0"/>
        <w:ind w:left="993"/>
        <w:contextualSpacing/>
        <w:jc w:val="both"/>
        <w:rPr>
          <w:rFonts w:ascii="Tahoma" w:hAnsi="Tahoma" w:cs="Tahoma"/>
          <w:sz w:val="20"/>
          <w:lang w:val="es-PE"/>
        </w:rPr>
      </w:pPr>
      <w:r w:rsidRPr="000D0849">
        <w:rPr>
          <w:rFonts w:ascii="Tahoma" w:hAnsi="Tahoma" w:cs="Tahoma"/>
          <w:sz w:val="20"/>
          <w:lang w:val="es-PE"/>
        </w:rPr>
        <w:t>La Factura Nº 127 emitida por Comercial América al señor Carlos Félix Cavero, en cuya descripción se hace referencia a una serie de bienes, como son: un mesclador marca “Pivey” modelo XR, unos parlantes marca “Pivey”, unos micrófonos marca “Pivey”, unos tuiters marca “Pivey” y una conservadora-congeladora de 1.80 ml. Por un total de S/. 5, 346.00 y que figura como cancelado el 27 de febrero de 1991.</w:t>
      </w:r>
    </w:p>
    <w:p w:rsidR="000D0849" w:rsidRPr="000D0849" w:rsidRDefault="000D0849" w:rsidP="000D0849">
      <w:pPr>
        <w:pStyle w:val="Prrafodelista"/>
        <w:ind w:left="567"/>
        <w:contextualSpacing/>
        <w:jc w:val="both"/>
        <w:rPr>
          <w:rFonts w:ascii="Tahoma" w:hAnsi="Tahoma" w:cs="Tahoma"/>
          <w:sz w:val="20"/>
          <w:lang w:val="es-PE"/>
        </w:rPr>
      </w:pPr>
    </w:p>
    <w:p w:rsidR="000D0849" w:rsidRPr="000D0849" w:rsidRDefault="000D0849" w:rsidP="000D0849">
      <w:pPr>
        <w:pStyle w:val="Textoindependiente"/>
        <w:widowControl w:val="0"/>
        <w:numPr>
          <w:ilvl w:val="0"/>
          <w:numId w:val="4"/>
        </w:numPr>
        <w:tabs>
          <w:tab w:val="left" w:pos="2410"/>
        </w:tabs>
        <w:suppressAutoHyphens/>
        <w:spacing w:after="0"/>
        <w:ind w:left="567" w:hanging="567"/>
        <w:jc w:val="both"/>
        <w:rPr>
          <w:rFonts w:ascii="Tahoma" w:hAnsi="Tahoma" w:cs="Tahoma"/>
          <w:sz w:val="20"/>
          <w:szCs w:val="20"/>
          <w:lang w:val="es-PE"/>
        </w:rPr>
      </w:pPr>
      <w:r w:rsidRPr="000D0849">
        <w:rPr>
          <w:rFonts w:ascii="Tahoma" w:hAnsi="Tahoma" w:cs="Tahoma"/>
          <w:sz w:val="20"/>
          <w:szCs w:val="20"/>
          <w:lang w:val="es-PE"/>
        </w:rPr>
        <w:t xml:space="preserve">Sobre el particular, la Entidad manifiesta que dicha factura es un documento falso porque según la copia impresa de datos de la empresa Comercial América que figuran en la SUNAT ella tiene un giro de negocio referido a la venta </w:t>
      </w:r>
      <w:r w:rsidRPr="000D0849">
        <w:rPr>
          <w:rFonts w:ascii="Tahoma" w:hAnsi="Tahoma" w:cs="Tahoma"/>
          <w:sz w:val="20"/>
          <w:szCs w:val="20"/>
        </w:rPr>
        <w:t>minoritaria de alimentos, bebidas y tabaco, que es diferente al rubro al que podrían pertenecer los bienes transferidos y consignado en la Factura N 127.</w:t>
      </w:r>
    </w:p>
    <w:p w:rsidR="000D0849" w:rsidRPr="000D0849" w:rsidRDefault="000D0849" w:rsidP="000D0849">
      <w:pPr>
        <w:pStyle w:val="Textoindependiente"/>
        <w:widowControl w:val="0"/>
        <w:tabs>
          <w:tab w:val="left" w:pos="2410"/>
        </w:tabs>
        <w:suppressAutoHyphens/>
        <w:spacing w:after="0"/>
        <w:jc w:val="both"/>
        <w:rPr>
          <w:rFonts w:ascii="Tahoma" w:hAnsi="Tahoma" w:cs="Tahoma"/>
          <w:sz w:val="20"/>
          <w:szCs w:val="20"/>
          <w:lang w:val="es-PE"/>
        </w:rPr>
      </w:pPr>
    </w:p>
    <w:p w:rsidR="000D0849" w:rsidRPr="000D0849" w:rsidRDefault="000D0849" w:rsidP="000D0849">
      <w:pPr>
        <w:pStyle w:val="Textoindependiente"/>
        <w:widowControl w:val="0"/>
        <w:numPr>
          <w:ilvl w:val="0"/>
          <w:numId w:val="4"/>
        </w:numPr>
        <w:tabs>
          <w:tab w:val="left" w:pos="2410"/>
        </w:tabs>
        <w:suppressAutoHyphens/>
        <w:spacing w:after="0"/>
        <w:ind w:left="567" w:hanging="567"/>
        <w:jc w:val="both"/>
        <w:rPr>
          <w:rFonts w:ascii="Tahoma" w:hAnsi="Tahoma" w:cs="Tahoma"/>
          <w:sz w:val="20"/>
          <w:szCs w:val="20"/>
          <w:lang w:val="es-PE"/>
        </w:rPr>
      </w:pPr>
      <w:r w:rsidRPr="000D0849">
        <w:rPr>
          <w:rFonts w:ascii="Tahoma" w:hAnsi="Tahoma" w:cs="Tahoma"/>
          <w:sz w:val="20"/>
          <w:szCs w:val="20"/>
          <w:lang w:val="es-PE"/>
        </w:rPr>
        <w:t xml:space="preserve">Al respecto, y a folios 33 y 34 del expediente se encuentra la factura cuestionada y la hoja impresa de datos que figura en la SUNAT. Así mismo, según reporte impreso, información registrada en la SUNAT, cabe señalar que la Actividad Económica de la empresa Comercial América E.I.R.Ltda responde al CIIU 5220-Venta Minoritaria de Alimentos, Bebidas, Tabaco. </w:t>
      </w:r>
    </w:p>
    <w:p w:rsidR="000D0849" w:rsidRPr="000D0849" w:rsidRDefault="000D0849" w:rsidP="000D0849">
      <w:pPr>
        <w:pStyle w:val="Prrafodelista"/>
        <w:rPr>
          <w:rFonts w:ascii="Tahoma" w:hAnsi="Tahoma" w:cs="Tahoma"/>
          <w:sz w:val="20"/>
          <w:lang w:val="es-PE"/>
        </w:rPr>
      </w:pPr>
    </w:p>
    <w:p w:rsidR="000D0849" w:rsidRPr="000D0849" w:rsidRDefault="000D0849" w:rsidP="000D0849">
      <w:pPr>
        <w:pStyle w:val="Textoindependiente"/>
        <w:widowControl w:val="0"/>
        <w:numPr>
          <w:ilvl w:val="0"/>
          <w:numId w:val="4"/>
        </w:numPr>
        <w:tabs>
          <w:tab w:val="left" w:pos="2410"/>
        </w:tabs>
        <w:suppressAutoHyphens/>
        <w:spacing w:after="0"/>
        <w:ind w:left="567" w:hanging="567"/>
        <w:jc w:val="both"/>
        <w:rPr>
          <w:rFonts w:ascii="Tahoma" w:hAnsi="Tahoma" w:cs="Tahoma"/>
          <w:sz w:val="20"/>
          <w:szCs w:val="20"/>
          <w:lang w:val="es-PE"/>
        </w:rPr>
      </w:pPr>
      <w:r w:rsidRPr="000D0849">
        <w:rPr>
          <w:rFonts w:ascii="Tahoma" w:hAnsi="Tahoma" w:cs="Tahoma"/>
          <w:sz w:val="20"/>
          <w:szCs w:val="20"/>
          <w:lang w:val="es-PE"/>
        </w:rPr>
        <w:t>Sobre el particular, y teniendo en cuenta que no ha sido posible contar con la información solicitada a la empresa Comercial América EIRLtda a fin de conocer acerca de la autenticidad de la Factura Nº 127, ni con la información proporcionada por la SUNAT o lo que le correspondía remitir a la Entidad referido a la fiscalización posterior efectuada en el presente caso, este colegiado precisa que es necesario observar la normatividad especial y aplicable, aun cuando era necesario contar con la información solicitada a fin de tener mayores elementos de juicio para proceder con el análisis respectivo. En ese sentido, a fin de establecer si la factura Nº 127 es un documento falso y/o inexacto corresponde analizar previamente si la empresa Comercial América EIRLtda debía emitir válidamente dicho documento a fin de realizar la transacción comercial de bienes que se encontrarían fuera de su actividad económica, documento que junto con una transferencia con certificación notarial adjuntó el Postor en su Propuesta Técnica.</w:t>
      </w:r>
    </w:p>
    <w:p w:rsidR="000D0849" w:rsidRPr="000D0849" w:rsidRDefault="000D0849" w:rsidP="000D0849">
      <w:pPr>
        <w:pStyle w:val="Prrafodelista"/>
        <w:rPr>
          <w:rFonts w:ascii="Tahoma" w:hAnsi="Tahoma" w:cs="Tahoma"/>
          <w:sz w:val="20"/>
        </w:rPr>
      </w:pPr>
    </w:p>
    <w:p w:rsidR="000D0849" w:rsidRPr="000D0849" w:rsidRDefault="000D0849" w:rsidP="000D0849">
      <w:pPr>
        <w:pStyle w:val="Textoindependiente"/>
        <w:widowControl w:val="0"/>
        <w:numPr>
          <w:ilvl w:val="0"/>
          <w:numId w:val="4"/>
        </w:numPr>
        <w:tabs>
          <w:tab w:val="left" w:pos="2410"/>
        </w:tabs>
        <w:suppressAutoHyphens/>
        <w:spacing w:after="0"/>
        <w:ind w:left="567" w:hanging="567"/>
        <w:jc w:val="both"/>
        <w:rPr>
          <w:rFonts w:ascii="Tahoma" w:hAnsi="Tahoma" w:cs="Tahoma"/>
          <w:sz w:val="20"/>
          <w:szCs w:val="20"/>
          <w:lang w:val="es-PE"/>
        </w:rPr>
      </w:pPr>
      <w:r w:rsidRPr="000D0849">
        <w:rPr>
          <w:rFonts w:ascii="Tahoma" w:hAnsi="Tahoma" w:cs="Tahoma"/>
          <w:sz w:val="20"/>
          <w:szCs w:val="20"/>
        </w:rPr>
        <w:t xml:space="preserve">En este sentido, para determinar la responsabilidad de un administrado se deben analizar todas las circunstancias que rodean el caso de manera integral, de tal modo que se </w:t>
      </w:r>
      <w:r w:rsidRPr="000D0849">
        <w:rPr>
          <w:rFonts w:ascii="Tahoma" w:hAnsi="Tahoma" w:cs="Tahoma"/>
          <w:sz w:val="20"/>
          <w:szCs w:val="20"/>
        </w:rPr>
        <w:lastRenderedPageBreak/>
        <w:t>produzca convicción suficiente más allá de la duda razonable, y se logre desvirtuar la presunción de inocencia que lo protege.</w:t>
      </w:r>
    </w:p>
    <w:p w:rsidR="000D0849" w:rsidRPr="000D0849" w:rsidRDefault="000D0849" w:rsidP="000D0849">
      <w:pPr>
        <w:pStyle w:val="Prrafodelista"/>
        <w:jc w:val="both"/>
        <w:rPr>
          <w:rFonts w:ascii="Tahoma" w:hAnsi="Tahoma" w:cs="Tahoma"/>
          <w:sz w:val="20"/>
          <w:lang w:val="es-PE"/>
        </w:rPr>
      </w:pPr>
    </w:p>
    <w:p w:rsidR="000D0849" w:rsidRPr="000D0849" w:rsidRDefault="000D0849" w:rsidP="000D0849">
      <w:pPr>
        <w:pStyle w:val="Textoindependiente"/>
        <w:widowControl w:val="0"/>
        <w:numPr>
          <w:ilvl w:val="0"/>
          <w:numId w:val="4"/>
        </w:numPr>
        <w:tabs>
          <w:tab w:val="left" w:pos="2410"/>
        </w:tabs>
        <w:suppressAutoHyphens/>
        <w:spacing w:after="0"/>
        <w:ind w:left="567" w:hanging="567"/>
        <w:jc w:val="both"/>
        <w:rPr>
          <w:rFonts w:ascii="Tahoma" w:hAnsi="Tahoma" w:cs="Tahoma"/>
          <w:sz w:val="20"/>
          <w:szCs w:val="20"/>
          <w:lang w:val="es-PE"/>
        </w:rPr>
      </w:pPr>
      <w:r w:rsidRPr="000D0849">
        <w:rPr>
          <w:rFonts w:ascii="Tahoma" w:hAnsi="Tahoma" w:cs="Tahoma"/>
          <w:sz w:val="20"/>
          <w:szCs w:val="20"/>
          <w:lang w:val="es-PE"/>
        </w:rPr>
        <w:t>En virtud de lo expresado,</w:t>
      </w:r>
      <w:r w:rsidRPr="000D0849">
        <w:rPr>
          <w:rFonts w:ascii="Tahoma" w:hAnsi="Tahoma" w:cs="Tahoma"/>
          <w:bCs/>
          <w:sz w:val="20"/>
          <w:szCs w:val="20"/>
        </w:rPr>
        <w:t xml:space="preserve"> el artículo 2º del Reglamento de Comprobantes de Pago aprobado por Resolución de Superintendencia Nº 007-99/SUNAT, establece que s</w:t>
      </w:r>
      <w:r w:rsidRPr="000D0849">
        <w:rPr>
          <w:rFonts w:ascii="Tahoma" w:hAnsi="Tahoma" w:cs="Tahoma"/>
          <w:sz w:val="20"/>
          <w:szCs w:val="20"/>
        </w:rPr>
        <w:t xml:space="preserve">ólo se consideran comprobantes de pago, siempre que cumplan con todas las características y requisitos mínimos establecidos en el presente reglamento, los siguientes: </w:t>
      </w:r>
    </w:p>
    <w:p w:rsidR="000D0849" w:rsidRPr="000D0849" w:rsidRDefault="000D0849" w:rsidP="000D0849">
      <w:pPr>
        <w:spacing w:before="100" w:beforeAutospacing="1" w:after="100" w:afterAutospacing="1"/>
        <w:ind w:left="720"/>
        <w:jc w:val="both"/>
        <w:rPr>
          <w:rFonts w:ascii="Tahoma" w:hAnsi="Tahoma" w:cs="Tahoma"/>
          <w:b/>
          <w:sz w:val="20"/>
          <w:szCs w:val="20"/>
        </w:rPr>
      </w:pPr>
      <w:r w:rsidRPr="000D0849">
        <w:rPr>
          <w:rFonts w:ascii="Tahoma" w:hAnsi="Tahoma" w:cs="Tahoma"/>
          <w:b/>
          <w:sz w:val="20"/>
          <w:szCs w:val="20"/>
        </w:rPr>
        <w:t xml:space="preserve">a) Facturas. </w:t>
      </w:r>
    </w:p>
    <w:p w:rsidR="000D0849" w:rsidRPr="000D0849" w:rsidRDefault="000D0849" w:rsidP="000D0849">
      <w:pPr>
        <w:spacing w:before="100" w:beforeAutospacing="1" w:after="100" w:afterAutospacing="1"/>
        <w:ind w:left="720"/>
        <w:jc w:val="both"/>
        <w:rPr>
          <w:rFonts w:ascii="Tahoma" w:hAnsi="Tahoma" w:cs="Tahoma"/>
          <w:sz w:val="20"/>
          <w:szCs w:val="20"/>
        </w:rPr>
      </w:pPr>
      <w:r w:rsidRPr="000D0849">
        <w:rPr>
          <w:rFonts w:ascii="Tahoma" w:hAnsi="Tahoma" w:cs="Tahoma"/>
          <w:sz w:val="20"/>
          <w:szCs w:val="20"/>
        </w:rPr>
        <w:t xml:space="preserve">b) Recibos por honorarios. </w:t>
      </w:r>
    </w:p>
    <w:p w:rsidR="000D0849" w:rsidRPr="000D0849" w:rsidRDefault="000D0849" w:rsidP="000D0849">
      <w:pPr>
        <w:spacing w:before="100" w:beforeAutospacing="1" w:after="100" w:afterAutospacing="1"/>
        <w:ind w:left="720"/>
        <w:jc w:val="both"/>
        <w:rPr>
          <w:rFonts w:ascii="Tahoma" w:hAnsi="Tahoma" w:cs="Tahoma"/>
          <w:sz w:val="20"/>
          <w:szCs w:val="20"/>
        </w:rPr>
      </w:pPr>
      <w:r w:rsidRPr="000D0849">
        <w:rPr>
          <w:rFonts w:ascii="Tahoma" w:hAnsi="Tahoma" w:cs="Tahoma"/>
          <w:sz w:val="20"/>
          <w:szCs w:val="20"/>
        </w:rPr>
        <w:t xml:space="preserve">c) Boletas de venta. </w:t>
      </w:r>
    </w:p>
    <w:p w:rsidR="000D0849" w:rsidRPr="000D0849" w:rsidRDefault="000D0849" w:rsidP="000D0849">
      <w:pPr>
        <w:spacing w:before="100" w:beforeAutospacing="1" w:after="100" w:afterAutospacing="1"/>
        <w:ind w:left="720"/>
        <w:jc w:val="both"/>
        <w:rPr>
          <w:rFonts w:ascii="Tahoma" w:hAnsi="Tahoma" w:cs="Tahoma"/>
          <w:sz w:val="20"/>
          <w:szCs w:val="20"/>
        </w:rPr>
      </w:pPr>
      <w:r w:rsidRPr="000D0849">
        <w:rPr>
          <w:rFonts w:ascii="Tahoma" w:hAnsi="Tahoma" w:cs="Tahoma"/>
          <w:sz w:val="20"/>
          <w:szCs w:val="20"/>
        </w:rPr>
        <w:t xml:space="preserve">d) Liquidaciones de compra. </w:t>
      </w:r>
    </w:p>
    <w:p w:rsidR="000D0849" w:rsidRPr="000D0849" w:rsidRDefault="000D0849" w:rsidP="000D0849">
      <w:pPr>
        <w:spacing w:before="100" w:beforeAutospacing="1" w:after="100" w:afterAutospacing="1"/>
        <w:ind w:left="720"/>
        <w:jc w:val="both"/>
        <w:rPr>
          <w:rFonts w:ascii="Tahoma" w:hAnsi="Tahoma" w:cs="Tahoma"/>
          <w:sz w:val="20"/>
          <w:szCs w:val="20"/>
        </w:rPr>
      </w:pPr>
      <w:r w:rsidRPr="000D0849">
        <w:rPr>
          <w:rFonts w:ascii="Tahoma" w:hAnsi="Tahoma" w:cs="Tahoma"/>
          <w:sz w:val="20"/>
          <w:szCs w:val="20"/>
        </w:rPr>
        <w:t xml:space="preserve">e) Tickets o cintas emitidos por máquinas registradoras. </w:t>
      </w:r>
    </w:p>
    <w:p w:rsidR="000D0849" w:rsidRPr="000D0849" w:rsidRDefault="000D0849" w:rsidP="000D0849">
      <w:pPr>
        <w:spacing w:before="100" w:beforeAutospacing="1" w:after="100" w:afterAutospacing="1"/>
        <w:ind w:left="720"/>
        <w:jc w:val="both"/>
        <w:rPr>
          <w:rFonts w:ascii="Tahoma" w:hAnsi="Tahoma" w:cs="Tahoma"/>
          <w:sz w:val="20"/>
          <w:szCs w:val="20"/>
        </w:rPr>
      </w:pPr>
      <w:r w:rsidRPr="000D0849">
        <w:rPr>
          <w:rFonts w:ascii="Tahoma" w:hAnsi="Tahoma" w:cs="Tahoma"/>
          <w:sz w:val="20"/>
          <w:szCs w:val="20"/>
        </w:rPr>
        <w:t xml:space="preserve">f) Los documentos autorizados en el numeral 6 del artículo 4º. </w:t>
      </w:r>
    </w:p>
    <w:p w:rsidR="000D0849" w:rsidRPr="000D0849" w:rsidRDefault="000D0849" w:rsidP="000D0849">
      <w:pPr>
        <w:spacing w:before="100" w:beforeAutospacing="1" w:after="100" w:afterAutospacing="1"/>
        <w:ind w:left="720"/>
        <w:jc w:val="both"/>
        <w:rPr>
          <w:rFonts w:ascii="Tahoma" w:hAnsi="Tahoma" w:cs="Tahoma"/>
          <w:sz w:val="20"/>
          <w:szCs w:val="20"/>
        </w:rPr>
      </w:pPr>
      <w:r w:rsidRPr="000D0849">
        <w:rPr>
          <w:rFonts w:ascii="Tahoma" w:hAnsi="Tahoma" w:cs="Tahoma"/>
          <w:sz w:val="20"/>
          <w:szCs w:val="20"/>
        </w:rPr>
        <w:t xml:space="preserve">g) Otros documentos que por su contenido y sistema de emisión permitan un adecuado control tributario y se encuentren expresamente autorizados, de manera previa, por la SUNAT. </w:t>
      </w:r>
    </w:p>
    <w:p w:rsidR="000D0849" w:rsidRPr="000D0849" w:rsidRDefault="000D0849" w:rsidP="000D0849">
      <w:pPr>
        <w:pStyle w:val="Prrafodelista"/>
        <w:widowControl/>
        <w:numPr>
          <w:ilvl w:val="0"/>
          <w:numId w:val="4"/>
        </w:numPr>
        <w:suppressAutoHyphens w:val="0"/>
        <w:spacing w:before="100" w:beforeAutospacing="1" w:after="100" w:afterAutospacing="1"/>
        <w:ind w:left="567" w:hanging="567"/>
        <w:jc w:val="both"/>
        <w:rPr>
          <w:rFonts w:ascii="Tahoma" w:hAnsi="Tahoma" w:cs="Tahoma"/>
          <w:sz w:val="20"/>
        </w:rPr>
      </w:pPr>
      <w:r w:rsidRPr="000D0849">
        <w:rPr>
          <w:rFonts w:ascii="Tahoma" w:hAnsi="Tahoma" w:cs="Tahoma"/>
          <w:sz w:val="20"/>
        </w:rPr>
        <w:t>Asimismo, el artículo 4 de aquel cuerpo legal señala que los comprobantes de pago serán emitidos, para el caso de las facturas en los siguientes casos:</w:t>
      </w:r>
    </w:p>
    <w:p w:rsidR="000D0849" w:rsidRPr="000D0849" w:rsidRDefault="000D0849" w:rsidP="000D0849">
      <w:pPr>
        <w:pStyle w:val="Prrafodelista"/>
        <w:spacing w:before="100" w:beforeAutospacing="1" w:after="100" w:afterAutospacing="1"/>
        <w:ind w:left="900"/>
        <w:jc w:val="both"/>
        <w:rPr>
          <w:rFonts w:ascii="Tahoma" w:hAnsi="Tahoma" w:cs="Tahoma"/>
          <w:sz w:val="20"/>
        </w:rPr>
      </w:pPr>
      <w:r w:rsidRPr="000D0849">
        <w:rPr>
          <w:rFonts w:ascii="Tahoma" w:hAnsi="Tahoma" w:cs="Tahoma"/>
          <w:sz w:val="20"/>
        </w:rPr>
        <w:t xml:space="preserve">a) Cuando la operación se realice con sujetos del Impuesto General a las Ventas que tengan derecho al crédito fiscal. </w:t>
      </w:r>
    </w:p>
    <w:p w:rsidR="000D0849" w:rsidRPr="000D0849" w:rsidRDefault="000D0849" w:rsidP="000D0849">
      <w:pPr>
        <w:pStyle w:val="Prrafodelista"/>
        <w:spacing w:before="100" w:beforeAutospacing="1" w:after="100" w:afterAutospacing="1"/>
        <w:ind w:left="900"/>
        <w:jc w:val="both"/>
        <w:rPr>
          <w:rFonts w:ascii="Tahoma" w:hAnsi="Tahoma" w:cs="Tahoma"/>
          <w:sz w:val="20"/>
        </w:rPr>
      </w:pPr>
      <w:r w:rsidRPr="000D0849">
        <w:rPr>
          <w:rFonts w:ascii="Tahoma" w:hAnsi="Tahoma" w:cs="Tahoma"/>
          <w:sz w:val="20"/>
        </w:rPr>
        <w:t xml:space="preserve">b) Cuando el comprador o usuario lo solicite a fin de sustentar gasto o costo para efecto tributario. </w:t>
      </w:r>
    </w:p>
    <w:p w:rsidR="000D0849" w:rsidRPr="000D0849" w:rsidRDefault="000D0849" w:rsidP="000D0849">
      <w:pPr>
        <w:pStyle w:val="Prrafodelista"/>
        <w:spacing w:before="100" w:beforeAutospacing="1" w:after="100" w:afterAutospacing="1"/>
        <w:ind w:left="900"/>
        <w:jc w:val="both"/>
        <w:rPr>
          <w:rFonts w:ascii="Tahoma" w:hAnsi="Tahoma" w:cs="Tahoma"/>
          <w:sz w:val="20"/>
        </w:rPr>
      </w:pPr>
      <w:r w:rsidRPr="000D0849">
        <w:rPr>
          <w:rFonts w:ascii="Tahoma" w:hAnsi="Tahoma" w:cs="Tahoma"/>
          <w:sz w:val="20"/>
        </w:rPr>
        <w:t xml:space="preserve">c) Cuando el sujeto del Régimen Único Simplificado lo solicite a fin de sustentar crédito deducible. </w:t>
      </w:r>
    </w:p>
    <w:p w:rsidR="000D0849" w:rsidRPr="000D0849" w:rsidRDefault="000D0849" w:rsidP="000D0849">
      <w:pPr>
        <w:pStyle w:val="Prrafodelista"/>
        <w:spacing w:before="100" w:beforeAutospacing="1" w:after="100" w:afterAutospacing="1"/>
        <w:ind w:left="900"/>
        <w:jc w:val="both"/>
        <w:rPr>
          <w:rFonts w:ascii="Tahoma" w:hAnsi="Tahoma" w:cs="Tahoma"/>
          <w:sz w:val="20"/>
        </w:rPr>
      </w:pPr>
      <w:r w:rsidRPr="000D0849">
        <w:rPr>
          <w:rFonts w:ascii="Tahoma" w:hAnsi="Tahoma" w:cs="Tahoma"/>
          <w:sz w:val="20"/>
        </w:rPr>
        <w:t>d) En las operaciones de exportación consideradas como tales por las normas del Impuesto General a las Ventas. En el caso de la venta de bienes en los establecimientos ubicados en la Zona Internacional de los aeropuertos de la República, si la operación se realiza con consumidores finales, se emitirán boletas de venta o tickets.</w:t>
      </w:r>
    </w:p>
    <w:p w:rsidR="000D0849" w:rsidRPr="000D0849" w:rsidRDefault="000D0849" w:rsidP="000D0849">
      <w:pPr>
        <w:pStyle w:val="Prrafodelista"/>
        <w:spacing w:before="100" w:beforeAutospacing="1" w:after="100" w:afterAutospacing="1"/>
        <w:ind w:left="900"/>
        <w:jc w:val="both"/>
        <w:rPr>
          <w:rFonts w:ascii="Tahoma" w:hAnsi="Tahoma" w:cs="Tahoma"/>
          <w:sz w:val="20"/>
        </w:rPr>
      </w:pPr>
      <w:r w:rsidRPr="000D0849">
        <w:rPr>
          <w:rFonts w:ascii="Tahoma" w:hAnsi="Tahoma" w:cs="Tahoma"/>
          <w:sz w:val="20"/>
        </w:rPr>
        <w:t>No están comprendidas en este inciso las operaciones de exportación realizadas por los sujetos del Nuevo Régimen Único Simplificado.</w:t>
      </w:r>
    </w:p>
    <w:p w:rsidR="000D0849" w:rsidRPr="000D0849" w:rsidRDefault="000D0849" w:rsidP="000D0849">
      <w:pPr>
        <w:pStyle w:val="Prrafodelista"/>
        <w:spacing w:before="100" w:beforeAutospacing="1" w:after="100" w:afterAutospacing="1"/>
        <w:ind w:left="900"/>
        <w:jc w:val="both"/>
        <w:rPr>
          <w:rFonts w:ascii="Tahoma" w:hAnsi="Tahoma" w:cs="Tahoma"/>
          <w:sz w:val="20"/>
        </w:rPr>
      </w:pPr>
      <w:r w:rsidRPr="000D0849">
        <w:rPr>
          <w:rFonts w:ascii="Tahoma" w:hAnsi="Tahoma" w:cs="Tahoma"/>
          <w:sz w:val="20"/>
        </w:rPr>
        <w:t xml:space="preserve">e) En los servicios de comisión mercantil prestados a sujetos no domiciliados, en relación con la venta en el país de bienes provenientes del exterior, siempre que el comisionista actúe como intermediario entre un sujeto domiciliado en el país y otro </w:t>
      </w:r>
      <w:r w:rsidRPr="000D0849">
        <w:rPr>
          <w:rFonts w:ascii="Tahoma" w:hAnsi="Tahoma" w:cs="Tahoma"/>
          <w:sz w:val="20"/>
        </w:rPr>
        <w:lastRenderedPageBreak/>
        <w:t xml:space="preserve">no domiciliado y la comisión sea pagada en el exterior. </w:t>
      </w:r>
    </w:p>
    <w:p w:rsidR="000D0849" w:rsidRPr="000D0849" w:rsidRDefault="000D0849" w:rsidP="000D0849">
      <w:pPr>
        <w:pStyle w:val="Prrafodelista"/>
        <w:spacing w:before="100" w:beforeAutospacing="1" w:after="100" w:afterAutospacing="1"/>
        <w:ind w:left="900"/>
        <w:jc w:val="both"/>
        <w:rPr>
          <w:rFonts w:ascii="Tahoma" w:hAnsi="Tahoma" w:cs="Tahoma"/>
          <w:sz w:val="20"/>
        </w:rPr>
      </w:pPr>
      <w:r w:rsidRPr="000D0849">
        <w:rPr>
          <w:rFonts w:ascii="Tahoma" w:hAnsi="Tahoma" w:cs="Tahoma"/>
          <w:sz w:val="20"/>
        </w:rPr>
        <w:t xml:space="preserve">f) En las operaciones realizadas con las Unidades Ejecutoras y Entidades del Sector Público Nacional a las que se refiere el Decreto Supremo Nº 053-97-PCM y normas modificatorias, cuando dichas Unidades Ejecutoras y Entidades adquieran los bienes y/o servicios definidos como tales en el artículo 1º del citado Decreto Supremo; salvo que las mencionadas adquisiciones se efectúen a sujetos del Régimen Único Simplificado o a las personas comprendidas en el numeral 3 del artículo 6° del presente reglamento, o que se acrediten con los documentos autorizados a que se refiere el numeral 6 del presente artículo. </w:t>
      </w:r>
    </w:p>
    <w:p w:rsidR="000D0849" w:rsidRPr="000D0849" w:rsidRDefault="000D0849" w:rsidP="000D0849">
      <w:pPr>
        <w:pStyle w:val="Prrafodelista"/>
        <w:spacing w:before="100" w:beforeAutospacing="1" w:after="100" w:afterAutospacing="1"/>
        <w:ind w:left="900"/>
        <w:jc w:val="both"/>
        <w:rPr>
          <w:rFonts w:ascii="Tahoma" w:hAnsi="Tahoma" w:cs="Tahoma"/>
          <w:sz w:val="20"/>
        </w:rPr>
      </w:pPr>
      <w:r w:rsidRPr="000D0849">
        <w:rPr>
          <w:rFonts w:ascii="Tahoma" w:hAnsi="Tahoma" w:cs="Tahoma"/>
          <w:sz w:val="20"/>
        </w:rPr>
        <w:t>g) En los servicios de comisión mercantil prestados a sujetos no domiciliados, en relación con la compra de bienes nacionales o nacionalizados, siempre que el comisionista actúe como intermediario entre el(los) exportador(es) y el sujeto no domiciliado y la comisión sea pagada desde el exterior.</w:t>
      </w:r>
    </w:p>
    <w:p w:rsidR="000D0849" w:rsidRPr="000D0849" w:rsidRDefault="000D0849" w:rsidP="000D0849">
      <w:pPr>
        <w:spacing w:before="100" w:beforeAutospacing="1" w:after="100" w:afterAutospacing="1"/>
        <w:ind w:left="709" w:hanging="709"/>
        <w:jc w:val="both"/>
        <w:rPr>
          <w:rFonts w:ascii="Tahoma" w:hAnsi="Tahoma" w:cs="Tahoma"/>
          <w:sz w:val="20"/>
          <w:szCs w:val="20"/>
        </w:rPr>
      </w:pPr>
      <w:r w:rsidRPr="000D0849">
        <w:rPr>
          <w:rFonts w:ascii="Tahoma" w:hAnsi="Tahoma" w:cs="Tahoma"/>
          <w:b/>
          <w:sz w:val="20"/>
          <w:szCs w:val="20"/>
          <w:lang w:val="es-PE"/>
        </w:rPr>
        <w:t>12.</w:t>
      </w:r>
      <w:r w:rsidRPr="000D0849">
        <w:rPr>
          <w:rFonts w:ascii="Tahoma" w:hAnsi="Tahoma" w:cs="Tahoma"/>
          <w:sz w:val="20"/>
          <w:szCs w:val="20"/>
          <w:lang w:val="es-PE"/>
        </w:rPr>
        <w:t xml:space="preserve"> </w:t>
      </w:r>
      <w:r w:rsidRPr="000D0849">
        <w:rPr>
          <w:rFonts w:ascii="Tahoma" w:hAnsi="Tahoma" w:cs="Tahoma"/>
          <w:sz w:val="20"/>
          <w:szCs w:val="20"/>
          <w:lang w:val="es-PE"/>
        </w:rPr>
        <w:tab/>
        <w:t xml:space="preserve">Así también tenemos lo expresado en el artículo 5 del Reglamento de Comprobantes de Pago, </w:t>
      </w:r>
      <w:r w:rsidRPr="000D0849">
        <w:rPr>
          <w:rFonts w:ascii="Tahoma" w:hAnsi="Tahoma" w:cs="Tahoma"/>
          <w:sz w:val="20"/>
          <w:szCs w:val="20"/>
          <w:u w:val="single"/>
          <w:lang w:val="es-PE"/>
        </w:rPr>
        <w:t xml:space="preserve">referido a la oportunidad, emisión y otorgamiento de comprobantes de pago </w:t>
      </w:r>
      <w:r w:rsidRPr="000D0849">
        <w:rPr>
          <w:rFonts w:ascii="Tahoma" w:hAnsi="Tahoma" w:cs="Tahoma"/>
          <w:sz w:val="20"/>
          <w:szCs w:val="20"/>
          <w:lang w:val="es-PE"/>
        </w:rPr>
        <w:t>indicando que l</w:t>
      </w:r>
      <w:r w:rsidRPr="000D0849">
        <w:rPr>
          <w:rFonts w:ascii="Tahoma" w:hAnsi="Tahoma" w:cs="Tahoma"/>
          <w:sz w:val="20"/>
          <w:szCs w:val="20"/>
        </w:rPr>
        <w:t xml:space="preserve">os comprobantes de pago deberán ser emitidos y otorgados en la oportunidad que se indica: </w:t>
      </w:r>
    </w:p>
    <w:p w:rsidR="000D0849" w:rsidRPr="000D0849" w:rsidRDefault="000D0849" w:rsidP="000D0849">
      <w:pPr>
        <w:spacing w:before="100" w:beforeAutospacing="1" w:after="100" w:afterAutospacing="1"/>
        <w:ind w:left="851"/>
        <w:jc w:val="both"/>
        <w:rPr>
          <w:rFonts w:ascii="Tahoma" w:hAnsi="Tahoma" w:cs="Tahoma"/>
          <w:sz w:val="20"/>
          <w:szCs w:val="20"/>
        </w:rPr>
      </w:pPr>
      <w:r w:rsidRPr="000D0849">
        <w:rPr>
          <w:rFonts w:ascii="Tahoma" w:hAnsi="Tahoma" w:cs="Tahoma"/>
          <w:b/>
          <w:sz w:val="20"/>
          <w:szCs w:val="20"/>
        </w:rPr>
        <w:t>1.</w:t>
      </w:r>
      <w:r w:rsidRPr="000D0849">
        <w:rPr>
          <w:rFonts w:ascii="Tahoma" w:hAnsi="Tahoma" w:cs="Tahoma"/>
          <w:sz w:val="20"/>
          <w:szCs w:val="20"/>
        </w:rPr>
        <w:tab/>
        <w:t xml:space="preserve">En la transferencia de bienes muebles, en el momento en que se entregue el bien o en el momento en que se efectúe el pago, lo que ocurra primero. </w:t>
      </w:r>
    </w:p>
    <w:p w:rsidR="000D0849" w:rsidRPr="000D0849" w:rsidRDefault="000D0849" w:rsidP="000D0849">
      <w:pPr>
        <w:spacing w:before="100" w:beforeAutospacing="1" w:after="100" w:afterAutospacing="1"/>
        <w:ind w:left="851"/>
        <w:jc w:val="both"/>
        <w:rPr>
          <w:rFonts w:ascii="Tahoma" w:hAnsi="Tahoma" w:cs="Tahoma"/>
          <w:sz w:val="20"/>
          <w:szCs w:val="20"/>
        </w:rPr>
      </w:pPr>
      <w:r w:rsidRPr="000D0849">
        <w:rPr>
          <w:rFonts w:ascii="Tahoma" w:hAnsi="Tahoma" w:cs="Tahoma"/>
          <w:sz w:val="20"/>
          <w:szCs w:val="20"/>
        </w:rPr>
        <w:t xml:space="preserve">En el caso que la transferencia sea concertada por Internet, teléfono, telefax u otros medios similares, en los que el pago se efectúe mediante tarjeta de crédito o de débito y/o abono en cuenta con anterioridad a la entrega del bien, el comprobante de pago deberá emitirse en la fecha en que se reciba la conformidad de la operación por parte del administrador del medio de pago o se perciba el ingreso, según sea el caso, y otorgarse conjuntamente con el bien. Sin embargo, si el adquiriente solicita que el bien sea entregado a un sujeto distinto, el comprobante de pago de le podrá otorgar a aquél hasta la fecha de entrega del bien. </w:t>
      </w:r>
    </w:p>
    <w:p w:rsidR="000D0849" w:rsidRPr="000D0849" w:rsidRDefault="000D0849" w:rsidP="000D0849">
      <w:pPr>
        <w:spacing w:before="100" w:beforeAutospacing="1" w:after="100" w:afterAutospacing="1"/>
        <w:ind w:left="851"/>
        <w:jc w:val="both"/>
        <w:rPr>
          <w:rFonts w:ascii="Tahoma" w:hAnsi="Tahoma" w:cs="Tahoma"/>
          <w:sz w:val="20"/>
          <w:szCs w:val="20"/>
        </w:rPr>
      </w:pPr>
      <w:r w:rsidRPr="000D0849">
        <w:rPr>
          <w:rFonts w:ascii="Tahoma" w:hAnsi="Tahoma" w:cs="Tahoma"/>
          <w:sz w:val="20"/>
          <w:szCs w:val="20"/>
        </w:rPr>
        <w:t xml:space="preserve">Tratándose de la venta de bienes en consignación, la SUNAT no aplicará la sanción referida a la infracción tipificada en el numeral 1 del artículo 174º del Código Tributario al sujeto que entrega el bien al consignatario, siempre que aquél cumpla con emitir y otorgar el comprobante de pago respectivo dentro de los nueve (9) días hábiles siguientes a la fecha en que el consignatario venda los mencionados bienes. </w:t>
      </w:r>
    </w:p>
    <w:p w:rsidR="000D0849" w:rsidRPr="000D0849" w:rsidRDefault="000D0849" w:rsidP="000D0849">
      <w:pPr>
        <w:spacing w:before="100" w:beforeAutospacing="1" w:after="100" w:afterAutospacing="1"/>
        <w:ind w:left="851"/>
        <w:jc w:val="both"/>
        <w:rPr>
          <w:rFonts w:ascii="Tahoma" w:hAnsi="Tahoma" w:cs="Tahoma"/>
          <w:sz w:val="20"/>
          <w:szCs w:val="20"/>
        </w:rPr>
      </w:pPr>
      <w:r w:rsidRPr="000D0849">
        <w:rPr>
          <w:rFonts w:ascii="Tahoma" w:hAnsi="Tahoma" w:cs="Tahoma"/>
          <w:b/>
          <w:bCs/>
          <w:sz w:val="20"/>
          <w:szCs w:val="20"/>
        </w:rPr>
        <w:t xml:space="preserve">2. </w:t>
      </w:r>
      <w:r w:rsidRPr="000D0849">
        <w:rPr>
          <w:rFonts w:ascii="Tahoma" w:hAnsi="Tahoma" w:cs="Tahoma"/>
          <w:b/>
          <w:bCs/>
          <w:sz w:val="20"/>
          <w:szCs w:val="20"/>
        </w:rPr>
        <w:tab/>
      </w:r>
      <w:r w:rsidRPr="000D0849">
        <w:rPr>
          <w:rFonts w:ascii="Tahoma" w:hAnsi="Tahoma" w:cs="Tahoma"/>
          <w:sz w:val="20"/>
          <w:szCs w:val="20"/>
        </w:rPr>
        <w:t xml:space="preserve">En el caso de retiro de bienes muebles a que se refiere la Ley del Impuesto General a las Ventas e Impuesto Selectivo al Consumo, en la fecha del retiro. </w:t>
      </w:r>
    </w:p>
    <w:p w:rsidR="000D0849" w:rsidRPr="000D0849" w:rsidRDefault="000D0849" w:rsidP="000D0849">
      <w:pPr>
        <w:spacing w:before="100" w:beforeAutospacing="1" w:after="100" w:afterAutospacing="1"/>
        <w:ind w:left="851"/>
        <w:jc w:val="both"/>
        <w:rPr>
          <w:rFonts w:ascii="Tahoma" w:hAnsi="Tahoma" w:cs="Tahoma"/>
          <w:sz w:val="20"/>
          <w:szCs w:val="20"/>
        </w:rPr>
      </w:pPr>
      <w:r w:rsidRPr="000D0849">
        <w:rPr>
          <w:rFonts w:ascii="Tahoma" w:hAnsi="Tahoma" w:cs="Tahoma"/>
          <w:b/>
          <w:bCs/>
          <w:sz w:val="20"/>
          <w:szCs w:val="20"/>
        </w:rPr>
        <w:t>3.</w:t>
      </w:r>
      <w:r w:rsidRPr="000D0849">
        <w:rPr>
          <w:rFonts w:ascii="Tahoma" w:hAnsi="Tahoma" w:cs="Tahoma"/>
          <w:sz w:val="20"/>
          <w:szCs w:val="20"/>
        </w:rPr>
        <w:t xml:space="preserve"> </w:t>
      </w:r>
      <w:r w:rsidRPr="000D0849">
        <w:rPr>
          <w:rFonts w:ascii="Tahoma" w:hAnsi="Tahoma" w:cs="Tahoma"/>
          <w:sz w:val="20"/>
          <w:szCs w:val="20"/>
        </w:rPr>
        <w:tab/>
        <w:t xml:space="preserve">En la transferencia de bienes inmuebles, en la fecha en que se perciba el ingreso o en la fecha en que se celebre el contrato, lo que ocurra primero. </w:t>
      </w:r>
    </w:p>
    <w:p w:rsidR="000D0849" w:rsidRPr="000D0849" w:rsidRDefault="000D0849" w:rsidP="000D0849">
      <w:pPr>
        <w:spacing w:before="100" w:beforeAutospacing="1" w:after="100" w:afterAutospacing="1"/>
        <w:ind w:left="851"/>
        <w:jc w:val="both"/>
        <w:rPr>
          <w:rFonts w:ascii="Tahoma" w:hAnsi="Tahoma" w:cs="Tahoma"/>
          <w:sz w:val="20"/>
          <w:szCs w:val="20"/>
        </w:rPr>
      </w:pPr>
      <w:r w:rsidRPr="000D0849">
        <w:rPr>
          <w:rFonts w:ascii="Tahoma" w:hAnsi="Tahoma" w:cs="Tahoma"/>
          <w:sz w:val="20"/>
          <w:szCs w:val="20"/>
        </w:rPr>
        <w:t xml:space="preserve">En la primera venta de bienes inmuebles que realice el constructor, en la fecha en que se perciba el ingreso, por el monto que se perciba, sea total o parcial. </w:t>
      </w:r>
    </w:p>
    <w:p w:rsidR="000D0849" w:rsidRPr="000D0849" w:rsidRDefault="000D0849" w:rsidP="000D0849">
      <w:pPr>
        <w:spacing w:before="100" w:beforeAutospacing="1" w:after="100" w:afterAutospacing="1"/>
        <w:ind w:left="851"/>
        <w:jc w:val="both"/>
        <w:rPr>
          <w:rFonts w:ascii="Tahoma" w:hAnsi="Tahoma" w:cs="Tahoma"/>
          <w:sz w:val="20"/>
          <w:szCs w:val="20"/>
        </w:rPr>
      </w:pPr>
      <w:r w:rsidRPr="000D0849">
        <w:rPr>
          <w:rFonts w:ascii="Tahoma" w:hAnsi="Tahoma" w:cs="Tahoma"/>
          <w:sz w:val="20"/>
          <w:szCs w:val="20"/>
        </w:rPr>
        <w:lastRenderedPageBreak/>
        <w:t xml:space="preserve">Tratándose de naves y aeronaves, en la fecha en que se suscribe el respectivo contrato. </w:t>
      </w:r>
    </w:p>
    <w:p w:rsidR="000D0849" w:rsidRPr="000D0849" w:rsidRDefault="000D0849" w:rsidP="000D0849">
      <w:pPr>
        <w:spacing w:before="100" w:beforeAutospacing="1" w:after="100" w:afterAutospacing="1"/>
        <w:ind w:left="851"/>
        <w:jc w:val="both"/>
        <w:rPr>
          <w:rFonts w:ascii="Tahoma" w:hAnsi="Tahoma" w:cs="Tahoma"/>
          <w:sz w:val="20"/>
          <w:szCs w:val="20"/>
        </w:rPr>
      </w:pPr>
      <w:r w:rsidRPr="000D0849">
        <w:rPr>
          <w:rFonts w:ascii="Tahoma" w:hAnsi="Tahoma" w:cs="Tahoma"/>
          <w:b/>
          <w:bCs/>
          <w:sz w:val="20"/>
          <w:szCs w:val="20"/>
        </w:rPr>
        <w:t>4.</w:t>
      </w:r>
      <w:r w:rsidRPr="000D0849">
        <w:rPr>
          <w:rFonts w:ascii="Tahoma" w:hAnsi="Tahoma" w:cs="Tahoma"/>
          <w:b/>
          <w:bCs/>
          <w:sz w:val="20"/>
          <w:szCs w:val="20"/>
        </w:rPr>
        <w:tab/>
      </w:r>
      <w:r w:rsidRPr="000D0849">
        <w:rPr>
          <w:rFonts w:ascii="Tahoma" w:hAnsi="Tahoma" w:cs="Tahoma"/>
          <w:sz w:val="20"/>
          <w:szCs w:val="20"/>
        </w:rPr>
        <w:t xml:space="preserve">En la transferencia de bienes, por los pagos parciales recibidos anticipadamente a la entrega del bien o puesta a disposición del mismo, en la fecha y por el monto percibido. </w:t>
      </w:r>
    </w:p>
    <w:p w:rsidR="000D0849" w:rsidRPr="000D0849" w:rsidRDefault="000D0849" w:rsidP="000D0849">
      <w:pPr>
        <w:spacing w:before="100" w:beforeAutospacing="1" w:after="100" w:afterAutospacing="1"/>
        <w:ind w:left="851"/>
        <w:jc w:val="both"/>
        <w:rPr>
          <w:rFonts w:ascii="Tahoma" w:hAnsi="Tahoma" w:cs="Tahoma"/>
          <w:sz w:val="20"/>
          <w:szCs w:val="20"/>
        </w:rPr>
      </w:pPr>
      <w:r w:rsidRPr="000D0849">
        <w:rPr>
          <w:rFonts w:ascii="Tahoma" w:hAnsi="Tahoma" w:cs="Tahoma"/>
          <w:b/>
          <w:bCs/>
          <w:sz w:val="20"/>
          <w:szCs w:val="20"/>
        </w:rPr>
        <w:t xml:space="preserve">5. </w:t>
      </w:r>
      <w:r w:rsidRPr="000D0849">
        <w:rPr>
          <w:rFonts w:ascii="Tahoma" w:hAnsi="Tahoma" w:cs="Tahoma"/>
          <w:b/>
          <w:bCs/>
          <w:sz w:val="20"/>
          <w:szCs w:val="20"/>
        </w:rPr>
        <w:tab/>
      </w:r>
      <w:r w:rsidRPr="000D0849">
        <w:rPr>
          <w:rFonts w:ascii="Tahoma" w:hAnsi="Tahoma" w:cs="Tahoma"/>
          <w:sz w:val="20"/>
          <w:szCs w:val="20"/>
        </w:rPr>
        <w:t xml:space="preserve">En la prestación de servicios, incluyendo el arrendamiento y arrendamiento financiero, cuando alguno de los siguientes supuestos ocurra primero: </w:t>
      </w:r>
    </w:p>
    <w:p w:rsidR="000D0849" w:rsidRPr="000D0849" w:rsidRDefault="000D0849" w:rsidP="000D0849">
      <w:pPr>
        <w:spacing w:before="100" w:beforeAutospacing="1" w:after="100" w:afterAutospacing="1"/>
        <w:ind w:left="2694"/>
        <w:jc w:val="both"/>
        <w:rPr>
          <w:rFonts w:ascii="Tahoma" w:hAnsi="Tahoma" w:cs="Tahoma"/>
          <w:sz w:val="20"/>
          <w:szCs w:val="20"/>
        </w:rPr>
      </w:pPr>
      <w:r w:rsidRPr="000D0849">
        <w:rPr>
          <w:rFonts w:ascii="Tahoma" w:hAnsi="Tahoma" w:cs="Tahoma"/>
          <w:b/>
          <w:bCs/>
          <w:sz w:val="20"/>
          <w:szCs w:val="20"/>
        </w:rPr>
        <w:t xml:space="preserve">a) </w:t>
      </w:r>
      <w:r w:rsidRPr="000D0849">
        <w:rPr>
          <w:rFonts w:ascii="Tahoma" w:hAnsi="Tahoma" w:cs="Tahoma"/>
          <w:sz w:val="20"/>
          <w:szCs w:val="20"/>
        </w:rPr>
        <w:t xml:space="preserve">La culminación del servicio. </w:t>
      </w:r>
    </w:p>
    <w:p w:rsidR="000D0849" w:rsidRPr="000D0849" w:rsidRDefault="000D0849" w:rsidP="000D0849">
      <w:pPr>
        <w:spacing w:before="100" w:beforeAutospacing="1" w:after="100" w:afterAutospacing="1"/>
        <w:ind w:left="2694"/>
        <w:jc w:val="both"/>
        <w:rPr>
          <w:rFonts w:ascii="Tahoma" w:hAnsi="Tahoma" w:cs="Tahoma"/>
          <w:sz w:val="20"/>
          <w:szCs w:val="20"/>
        </w:rPr>
      </w:pPr>
      <w:r w:rsidRPr="000D0849">
        <w:rPr>
          <w:rFonts w:ascii="Tahoma" w:hAnsi="Tahoma" w:cs="Tahoma"/>
          <w:b/>
          <w:bCs/>
          <w:sz w:val="20"/>
          <w:szCs w:val="20"/>
        </w:rPr>
        <w:t xml:space="preserve">b) </w:t>
      </w:r>
      <w:r w:rsidRPr="000D0849">
        <w:rPr>
          <w:rFonts w:ascii="Tahoma" w:hAnsi="Tahoma" w:cs="Tahoma"/>
          <w:sz w:val="20"/>
          <w:szCs w:val="20"/>
        </w:rPr>
        <w:t xml:space="preserve">La percepción de la retribución, parcial o total, debiéndose emitir el comprobante de pago por el monto percibido. </w:t>
      </w:r>
    </w:p>
    <w:p w:rsidR="000D0849" w:rsidRPr="000D0849" w:rsidRDefault="000D0849" w:rsidP="000D0849">
      <w:pPr>
        <w:spacing w:before="100" w:beforeAutospacing="1" w:after="100" w:afterAutospacing="1"/>
        <w:ind w:left="2694"/>
        <w:jc w:val="both"/>
        <w:rPr>
          <w:rFonts w:ascii="Tahoma" w:hAnsi="Tahoma" w:cs="Tahoma"/>
          <w:sz w:val="20"/>
          <w:szCs w:val="20"/>
        </w:rPr>
      </w:pPr>
      <w:r w:rsidRPr="000D0849">
        <w:rPr>
          <w:rFonts w:ascii="Tahoma" w:hAnsi="Tahoma" w:cs="Tahoma"/>
          <w:b/>
          <w:bCs/>
          <w:sz w:val="20"/>
          <w:szCs w:val="20"/>
        </w:rPr>
        <w:t xml:space="preserve">c) </w:t>
      </w:r>
      <w:r w:rsidRPr="000D0849">
        <w:rPr>
          <w:rFonts w:ascii="Tahoma" w:hAnsi="Tahoma" w:cs="Tahoma"/>
          <w:sz w:val="20"/>
          <w:szCs w:val="20"/>
        </w:rPr>
        <w:t xml:space="preserve">El vencimiento del plazo o de cada uno de los plazos fijados o convenidos para el pago del servicio, debiéndose emitir el comprobante de pago por el monto que corresponda a cada vencimiento. </w:t>
      </w:r>
    </w:p>
    <w:p w:rsidR="000D0849" w:rsidRPr="000D0849" w:rsidRDefault="000D0849" w:rsidP="000D0849">
      <w:pPr>
        <w:spacing w:before="100" w:beforeAutospacing="1" w:after="100" w:afterAutospacing="1"/>
        <w:ind w:left="709"/>
        <w:jc w:val="both"/>
        <w:rPr>
          <w:rFonts w:ascii="Tahoma" w:hAnsi="Tahoma" w:cs="Tahoma"/>
          <w:sz w:val="20"/>
          <w:szCs w:val="20"/>
        </w:rPr>
      </w:pPr>
      <w:r w:rsidRPr="000D0849">
        <w:rPr>
          <w:rFonts w:ascii="Tahoma" w:hAnsi="Tahoma" w:cs="Tahoma"/>
          <w:sz w:val="20"/>
          <w:szCs w:val="20"/>
        </w:rPr>
        <w:t xml:space="preserve">Los documentos autorizados a que se refieren los literales j) y q) del inciso 6.1 del numeral 6 del Artículo 4° del presente reglamento, deberán ser emitidos y otorgados en el mes en que se perciba la retribución, pudiendo realizarse la emisión y otorgamiento, a opción del obligado, en forma semanal, quincenal o mensual. </w:t>
      </w:r>
    </w:p>
    <w:p w:rsidR="000D0849" w:rsidRPr="000D0849" w:rsidRDefault="000D0849" w:rsidP="000D0849">
      <w:pPr>
        <w:spacing w:before="100" w:beforeAutospacing="1" w:after="100" w:afterAutospacing="1"/>
        <w:ind w:left="709"/>
        <w:jc w:val="both"/>
        <w:rPr>
          <w:rFonts w:ascii="Tahoma" w:hAnsi="Tahoma" w:cs="Tahoma"/>
          <w:sz w:val="20"/>
          <w:szCs w:val="20"/>
        </w:rPr>
      </w:pPr>
      <w:r w:rsidRPr="000D0849">
        <w:rPr>
          <w:rFonts w:ascii="Tahoma" w:hAnsi="Tahoma" w:cs="Tahoma"/>
          <w:sz w:val="20"/>
          <w:szCs w:val="20"/>
        </w:rPr>
        <w:t xml:space="preserve">Lo dispuesto en el presente numeral no es aplicable a la prestación de servicios generadores de rentas de cuarta categoría a título oneroso, en cuyo caso los comprobantes de pago deberán ser emitidos y otorgados en el momento en que se perciba la retribución y por el monto de la misma. </w:t>
      </w:r>
    </w:p>
    <w:p w:rsidR="000D0849" w:rsidRPr="000D0849" w:rsidRDefault="000D0849" w:rsidP="000D0849">
      <w:pPr>
        <w:spacing w:before="100" w:beforeAutospacing="1" w:after="100" w:afterAutospacing="1"/>
        <w:ind w:left="709" w:firstLine="142"/>
        <w:jc w:val="both"/>
        <w:rPr>
          <w:rFonts w:ascii="Tahoma" w:hAnsi="Tahoma" w:cs="Tahoma"/>
          <w:sz w:val="20"/>
          <w:szCs w:val="20"/>
        </w:rPr>
      </w:pPr>
      <w:r w:rsidRPr="000D0849">
        <w:rPr>
          <w:rFonts w:ascii="Tahoma" w:hAnsi="Tahoma" w:cs="Tahoma"/>
          <w:b/>
          <w:sz w:val="20"/>
          <w:szCs w:val="20"/>
        </w:rPr>
        <w:t>6.</w:t>
      </w:r>
      <w:r w:rsidRPr="000D0849">
        <w:rPr>
          <w:rFonts w:ascii="Tahoma" w:hAnsi="Tahoma" w:cs="Tahoma"/>
          <w:sz w:val="20"/>
          <w:szCs w:val="20"/>
        </w:rPr>
        <w:t xml:space="preserve"> </w:t>
      </w:r>
      <w:r w:rsidRPr="000D0849">
        <w:rPr>
          <w:rFonts w:ascii="Tahoma" w:hAnsi="Tahoma" w:cs="Tahoma"/>
          <w:sz w:val="20"/>
          <w:szCs w:val="20"/>
        </w:rPr>
        <w:tab/>
        <w:t xml:space="preserve">En los contratos de construcción, en la fecha de percepción del ingreso, sea total o parcial y por el monto efectivamente percibido. </w:t>
      </w:r>
    </w:p>
    <w:p w:rsidR="000D0849" w:rsidRPr="000D0849" w:rsidRDefault="000D0849" w:rsidP="000D0849">
      <w:pPr>
        <w:spacing w:before="100" w:beforeAutospacing="1" w:after="100" w:afterAutospacing="1"/>
        <w:ind w:left="709" w:firstLine="142"/>
        <w:jc w:val="both"/>
        <w:rPr>
          <w:rFonts w:ascii="Tahoma" w:hAnsi="Tahoma" w:cs="Tahoma"/>
          <w:sz w:val="20"/>
          <w:szCs w:val="20"/>
        </w:rPr>
      </w:pPr>
      <w:r w:rsidRPr="000D0849">
        <w:rPr>
          <w:rFonts w:ascii="Tahoma" w:hAnsi="Tahoma" w:cs="Tahoma"/>
          <w:b/>
          <w:bCs/>
          <w:sz w:val="20"/>
          <w:szCs w:val="20"/>
        </w:rPr>
        <w:t xml:space="preserve">7. </w:t>
      </w:r>
      <w:r w:rsidRPr="000D0849">
        <w:rPr>
          <w:rFonts w:ascii="Tahoma" w:hAnsi="Tahoma" w:cs="Tahoma"/>
          <w:b/>
          <w:bCs/>
          <w:sz w:val="20"/>
          <w:szCs w:val="20"/>
        </w:rPr>
        <w:tab/>
      </w:r>
      <w:r w:rsidRPr="000D0849">
        <w:rPr>
          <w:rFonts w:ascii="Tahoma" w:hAnsi="Tahoma" w:cs="Tahoma"/>
          <w:sz w:val="20"/>
          <w:szCs w:val="20"/>
        </w:rPr>
        <w:t xml:space="preserve">En los casos de entrega de depósito, garantía, arras o similares, cuando impliquen el nacimiento de la obligación tributaria para efecto del Impuesto, en el momento y por el monto percibido. </w:t>
      </w:r>
    </w:p>
    <w:p w:rsidR="000D0849" w:rsidRPr="000D0849" w:rsidRDefault="000D0849" w:rsidP="000D0849">
      <w:pPr>
        <w:spacing w:before="100" w:beforeAutospacing="1" w:after="100" w:afterAutospacing="1"/>
        <w:ind w:left="708" w:firstLine="1"/>
        <w:jc w:val="both"/>
        <w:rPr>
          <w:rFonts w:ascii="Tahoma" w:hAnsi="Tahoma" w:cs="Tahoma"/>
          <w:sz w:val="20"/>
          <w:szCs w:val="20"/>
        </w:rPr>
      </w:pPr>
      <w:r w:rsidRPr="000D0849">
        <w:rPr>
          <w:rFonts w:ascii="Tahoma" w:hAnsi="Tahoma" w:cs="Tahoma"/>
          <w:sz w:val="20"/>
          <w:szCs w:val="20"/>
        </w:rPr>
        <w:t>La emisión y otorgamiento de los comprobantes de pago podrá anticiparse a las fechas antes señaladas.</w:t>
      </w:r>
    </w:p>
    <w:p w:rsidR="000D0849" w:rsidRPr="000D0849" w:rsidRDefault="000D0849" w:rsidP="000D0849">
      <w:pPr>
        <w:spacing w:before="100" w:beforeAutospacing="1" w:after="100" w:afterAutospacing="1"/>
        <w:ind w:left="709"/>
        <w:jc w:val="both"/>
        <w:rPr>
          <w:rFonts w:ascii="Tahoma" w:hAnsi="Tahoma" w:cs="Tahoma"/>
          <w:b/>
          <w:sz w:val="20"/>
          <w:szCs w:val="20"/>
        </w:rPr>
      </w:pPr>
      <w:r w:rsidRPr="000D0849">
        <w:rPr>
          <w:rFonts w:ascii="Tahoma" w:hAnsi="Tahoma" w:cs="Tahoma"/>
          <w:b/>
          <w:sz w:val="20"/>
          <w:szCs w:val="20"/>
        </w:rPr>
        <w:t>La obligación de otorgar comprobantes de pago rige aún cuando la transferencia de bienes, entrega en uso o prestación de servicios no se encuentren afecta a tributos, o cuando éstos hubieran sido liquidados, percibidos o retenidos con anterioridad al otorgamiento de los mismos.</w:t>
      </w:r>
    </w:p>
    <w:p w:rsidR="000D0849" w:rsidRPr="000D0849" w:rsidRDefault="000D0849" w:rsidP="000D0849">
      <w:pPr>
        <w:pStyle w:val="Textoindependiente"/>
        <w:widowControl w:val="0"/>
        <w:numPr>
          <w:ilvl w:val="0"/>
          <w:numId w:val="4"/>
        </w:numPr>
        <w:tabs>
          <w:tab w:val="left" w:pos="2410"/>
        </w:tabs>
        <w:suppressAutoHyphens/>
        <w:spacing w:after="0"/>
        <w:ind w:left="567" w:hanging="567"/>
        <w:jc w:val="both"/>
        <w:rPr>
          <w:rFonts w:ascii="Tahoma" w:hAnsi="Tahoma" w:cs="Tahoma"/>
          <w:sz w:val="20"/>
          <w:szCs w:val="20"/>
        </w:rPr>
      </w:pPr>
      <w:r w:rsidRPr="000D0849">
        <w:rPr>
          <w:rFonts w:ascii="Tahoma" w:hAnsi="Tahoma" w:cs="Tahoma"/>
          <w:sz w:val="20"/>
          <w:szCs w:val="20"/>
          <w:lang w:val="es-PE"/>
        </w:rPr>
        <w:t xml:space="preserve">De la lectura de las disposiciones legales descritas, así como de la revisión del Reglamento de Comprobantes de Pagos de manera integral se aprecia la obligación de emitir los comprobantes de pago, como facturas, en casos de transferencia de bienes de </w:t>
      </w:r>
      <w:r w:rsidRPr="000D0849">
        <w:rPr>
          <w:rFonts w:ascii="Tahoma" w:hAnsi="Tahoma" w:cs="Tahoma"/>
          <w:sz w:val="20"/>
          <w:szCs w:val="20"/>
          <w:lang w:val="es-PE"/>
        </w:rPr>
        <w:lastRenderedPageBreak/>
        <w:t>manera no exclusiva a la actividad económica que la persona natural o jurídica haya escogido como referente en relación al rubro al que va dirigido su actividad principal, ello con prescindencia de que dicha persona puede también hacer referencia, en aquel registro administrado por la SUNAT, a la consignación de sus actividades económicas secundarias.</w:t>
      </w:r>
    </w:p>
    <w:p w:rsidR="000D0849" w:rsidRPr="000D0849" w:rsidRDefault="000D0849" w:rsidP="000D0849">
      <w:pPr>
        <w:pStyle w:val="Textoindependiente"/>
        <w:widowControl w:val="0"/>
        <w:tabs>
          <w:tab w:val="left" w:pos="2410"/>
        </w:tabs>
        <w:suppressAutoHyphens/>
        <w:spacing w:after="0"/>
        <w:ind w:left="567"/>
        <w:jc w:val="both"/>
        <w:rPr>
          <w:rFonts w:ascii="Tahoma" w:hAnsi="Tahoma" w:cs="Tahoma"/>
          <w:sz w:val="20"/>
          <w:szCs w:val="20"/>
        </w:rPr>
      </w:pPr>
    </w:p>
    <w:p w:rsidR="000D0849" w:rsidRPr="000D0849" w:rsidRDefault="000D0849" w:rsidP="000D0849">
      <w:pPr>
        <w:pStyle w:val="Textoindependiente"/>
        <w:widowControl w:val="0"/>
        <w:numPr>
          <w:ilvl w:val="0"/>
          <w:numId w:val="4"/>
        </w:numPr>
        <w:tabs>
          <w:tab w:val="left" w:pos="2410"/>
        </w:tabs>
        <w:suppressAutoHyphens/>
        <w:spacing w:after="0"/>
        <w:ind w:left="567" w:hanging="567"/>
        <w:jc w:val="both"/>
        <w:rPr>
          <w:rFonts w:ascii="Tahoma" w:hAnsi="Tahoma" w:cs="Tahoma"/>
          <w:b/>
          <w:i/>
          <w:sz w:val="20"/>
          <w:szCs w:val="20"/>
        </w:rPr>
      </w:pPr>
      <w:r w:rsidRPr="000D0849">
        <w:rPr>
          <w:rFonts w:ascii="Tahoma" w:hAnsi="Tahoma" w:cs="Tahoma"/>
          <w:sz w:val="20"/>
          <w:szCs w:val="20"/>
        </w:rPr>
        <w:t>En ese sentido, la norma sobre la materia no hace referencia a prohibición alguna respecto a la emisión de facturas de manera no exclusiva el ámbito de la actividad principal que consigno la empresa al momento de solicitar la obtención de su RUC. Conforme a ello es el criterio expuesto en el Oficio N° 50-2005-SUNAT/2B0000, del 06 de mayo 2005</w:t>
      </w:r>
      <w:r w:rsidRPr="000D0849">
        <w:rPr>
          <w:rStyle w:val="Refdenotaalpie"/>
          <w:rFonts w:ascii="Tahoma" w:hAnsi="Tahoma" w:cs="Tahoma"/>
          <w:sz w:val="20"/>
          <w:szCs w:val="20"/>
        </w:rPr>
        <w:footnoteReference w:id="2"/>
      </w:r>
      <w:r w:rsidRPr="000D0849">
        <w:rPr>
          <w:rFonts w:ascii="Tahoma" w:hAnsi="Tahoma" w:cs="Tahoma"/>
          <w:sz w:val="20"/>
          <w:szCs w:val="20"/>
        </w:rPr>
        <w:t xml:space="preserve"> que señala:</w:t>
      </w:r>
      <w:r w:rsidRPr="000D0849">
        <w:rPr>
          <w:rFonts w:ascii="Tahoma" w:hAnsi="Tahoma" w:cs="Tahoma"/>
          <w:i/>
          <w:sz w:val="20"/>
          <w:szCs w:val="20"/>
        </w:rPr>
        <w:t xml:space="preserve"> </w:t>
      </w:r>
      <w:r w:rsidRPr="000D0849">
        <w:rPr>
          <w:rFonts w:ascii="Tahoma" w:hAnsi="Tahoma" w:cs="Tahoma"/>
          <w:b/>
          <w:i/>
          <w:sz w:val="20"/>
          <w:szCs w:val="20"/>
        </w:rPr>
        <w:t>Los contribuyentes y/o responsables de tributos administrados y/o recaudados por la SUNAT, así como las personas jurídicas y otras entidades comprendidas en los incisos b) al d) del artículo 2° de la Resolución de Superintendencia N° 210-2004/SUNAT, están obligados a comunicar, al momento de su inscripción en el RUC, la actividad económica por la que obtienen mayores ingresos (actividad económica principal); no existiendo norma alguna que, para efectos del RUC, obligue a los sujetos que deben inscribirse en éste a comunicar, además, todas las actividades económicas adicionales que realizan.</w:t>
      </w:r>
    </w:p>
    <w:p w:rsidR="000D0849" w:rsidRPr="000D0849" w:rsidRDefault="000D0849" w:rsidP="000D0849">
      <w:pPr>
        <w:pStyle w:val="Prrafodelista"/>
        <w:rPr>
          <w:rFonts w:ascii="Tahoma" w:hAnsi="Tahoma" w:cs="Tahoma"/>
          <w:i/>
          <w:sz w:val="20"/>
        </w:rPr>
      </w:pPr>
    </w:p>
    <w:p w:rsidR="000D0849" w:rsidRPr="000D0849" w:rsidRDefault="000D0849" w:rsidP="000D0849">
      <w:pPr>
        <w:pStyle w:val="Textoindependiente"/>
        <w:widowControl w:val="0"/>
        <w:numPr>
          <w:ilvl w:val="0"/>
          <w:numId w:val="4"/>
        </w:numPr>
        <w:tabs>
          <w:tab w:val="left" w:pos="2410"/>
        </w:tabs>
        <w:suppressAutoHyphens/>
        <w:spacing w:after="0"/>
        <w:ind w:left="567" w:hanging="567"/>
        <w:jc w:val="both"/>
        <w:rPr>
          <w:rFonts w:ascii="Tahoma" w:hAnsi="Tahoma" w:cs="Tahoma"/>
          <w:i/>
          <w:sz w:val="20"/>
          <w:szCs w:val="20"/>
        </w:rPr>
      </w:pPr>
      <w:r w:rsidRPr="000D0849">
        <w:rPr>
          <w:rFonts w:ascii="Tahoma" w:hAnsi="Tahoma" w:cs="Tahoma"/>
          <w:sz w:val="20"/>
          <w:szCs w:val="20"/>
        </w:rPr>
        <w:t xml:space="preserve">En ese orden de ideas, el </w:t>
      </w:r>
      <w:r w:rsidRPr="000D0849">
        <w:rPr>
          <w:rFonts w:ascii="Tahoma" w:hAnsi="Tahoma" w:cs="Tahoma"/>
          <w:b/>
          <w:sz w:val="20"/>
          <w:szCs w:val="20"/>
        </w:rPr>
        <w:t>Oficio N° 50-2005-SUNAT/2B0000</w:t>
      </w:r>
      <w:r w:rsidRPr="000D0849">
        <w:rPr>
          <w:rFonts w:ascii="Tahoma" w:hAnsi="Tahoma" w:cs="Tahoma"/>
          <w:sz w:val="20"/>
          <w:szCs w:val="20"/>
        </w:rPr>
        <w:t xml:space="preserve"> refiere que:</w:t>
      </w:r>
      <w:r w:rsidRPr="000D0849">
        <w:rPr>
          <w:rFonts w:ascii="Tahoma" w:hAnsi="Tahoma" w:cs="Tahoma"/>
          <w:i/>
          <w:sz w:val="20"/>
          <w:szCs w:val="20"/>
        </w:rPr>
        <w:t xml:space="preserve"> Finalmente, es del caso señalar que el hecho que un sujeto comunique al momento de su inscripción en el RUC una actividad económica principal que no es conforme con la realidad y/o no haya cumplido con comunicar a la SUNAT cualquier modificación de la información proporcionada para efectos de dicho Registro (entre otros, la información relativa a su actividad económica), no invalidan tal inscripción ni la validez del número de RUC otorgado por la Administración Tributaria, sin perjuicio de la aplicación de las sanciones que correspondan conforme a lo establecido en el Texto Único Ordenado del Código Tributario.</w:t>
      </w:r>
    </w:p>
    <w:p w:rsidR="000D0849" w:rsidRPr="000D0849" w:rsidRDefault="000D0849" w:rsidP="000D0849">
      <w:pPr>
        <w:pStyle w:val="Prrafodelista"/>
        <w:rPr>
          <w:rFonts w:ascii="Tahoma" w:hAnsi="Tahoma" w:cs="Tahoma"/>
          <w:i/>
          <w:sz w:val="20"/>
        </w:rPr>
      </w:pPr>
    </w:p>
    <w:p w:rsidR="000D0849" w:rsidRPr="000D0849" w:rsidRDefault="000D0849" w:rsidP="000D0849">
      <w:pPr>
        <w:pStyle w:val="Textoindependiente"/>
        <w:widowControl w:val="0"/>
        <w:numPr>
          <w:ilvl w:val="0"/>
          <w:numId w:val="4"/>
        </w:numPr>
        <w:tabs>
          <w:tab w:val="left" w:pos="2410"/>
        </w:tabs>
        <w:suppressAutoHyphens/>
        <w:spacing w:after="0"/>
        <w:ind w:left="567" w:hanging="567"/>
        <w:jc w:val="both"/>
        <w:rPr>
          <w:rFonts w:ascii="Tahoma" w:hAnsi="Tahoma" w:cs="Tahoma"/>
          <w:sz w:val="20"/>
          <w:szCs w:val="20"/>
        </w:rPr>
      </w:pPr>
      <w:r w:rsidRPr="000D0849">
        <w:rPr>
          <w:rFonts w:ascii="Tahoma" w:hAnsi="Tahoma" w:cs="Tahoma"/>
          <w:sz w:val="20"/>
          <w:szCs w:val="20"/>
        </w:rPr>
        <w:t>Ahora bien, el Código Tributario en su artículo 174 describe cuales son las infracciones pasibles de sanción específicamente relacionadas a la emisión de comprobantes de pago, el mismo que no prevé sanción alguna en referencia a la emisión de comprobantes de pago por conceptos distintos a la actividad económica principal que la persona natural o jurídica declaró ante la SUNAT.</w:t>
      </w:r>
      <w:r w:rsidRPr="000D0849">
        <w:rPr>
          <w:rStyle w:val="Refdenotaalpie"/>
          <w:rFonts w:ascii="Tahoma" w:hAnsi="Tahoma" w:cs="Tahoma"/>
          <w:sz w:val="20"/>
          <w:szCs w:val="20"/>
        </w:rPr>
        <w:footnoteReference w:id="3"/>
      </w:r>
      <w:r w:rsidRPr="000D0849">
        <w:rPr>
          <w:rFonts w:ascii="Tahoma" w:hAnsi="Tahoma" w:cs="Tahoma"/>
          <w:sz w:val="20"/>
          <w:szCs w:val="20"/>
        </w:rPr>
        <w:t xml:space="preserve"> En ese sentido, la emisión de una Factura por la venta </w:t>
      </w:r>
      <w:r w:rsidRPr="000D0849">
        <w:rPr>
          <w:rFonts w:ascii="Tahoma" w:hAnsi="Tahoma" w:cs="Tahoma"/>
          <w:sz w:val="20"/>
          <w:szCs w:val="20"/>
        </w:rPr>
        <w:lastRenderedPageBreak/>
        <w:t>de bienes que se considerarían distintos al correspondiente a la actividad económica principal y/o secundaria consignada en el registro de la SUNAT para la obtención de su número de RUC no es una conducta considerada en la norma de la materia como infracción pasible de sanción por la Administración Tributaria.</w:t>
      </w:r>
    </w:p>
    <w:p w:rsidR="000D0849" w:rsidRPr="000D0849" w:rsidRDefault="000D0849" w:rsidP="000D0849">
      <w:pPr>
        <w:pStyle w:val="Prrafodelista"/>
        <w:rPr>
          <w:rFonts w:ascii="Tahoma" w:hAnsi="Tahoma" w:cs="Tahoma"/>
          <w:sz w:val="20"/>
        </w:rPr>
      </w:pPr>
    </w:p>
    <w:p w:rsidR="000D0849" w:rsidRPr="000D0849" w:rsidRDefault="000D0849" w:rsidP="000D0849">
      <w:pPr>
        <w:pStyle w:val="Textoindependiente"/>
        <w:widowControl w:val="0"/>
        <w:numPr>
          <w:ilvl w:val="0"/>
          <w:numId w:val="4"/>
        </w:numPr>
        <w:tabs>
          <w:tab w:val="left" w:pos="2410"/>
        </w:tabs>
        <w:suppressAutoHyphens/>
        <w:spacing w:after="0"/>
        <w:ind w:left="567" w:hanging="567"/>
        <w:jc w:val="both"/>
        <w:rPr>
          <w:rFonts w:ascii="Tahoma" w:hAnsi="Tahoma" w:cs="Tahoma"/>
          <w:sz w:val="20"/>
          <w:szCs w:val="20"/>
        </w:rPr>
      </w:pPr>
      <w:r w:rsidRPr="000D0849">
        <w:rPr>
          <w:rFonts w:ascii="Tahoma" w:hAnsi="Tahoma" w:cs="Tahoma"/>
          <w:sz w:val="20"/>
          <w:szCs w:val="20"/>
        </w:rPr>
        <w:t xml:space="preserve">Por lo expuesto, es de apreciar que, en el presente caso, la Factura N 127, expedida por la venta de bienes que no corresponderían a la actividad económica de la empresa </w:t>
      </w:r>
      <w:r w:rsidRPr="000D0849">
        <w:rPr>
          <w:rFonts w:ascii="Tahoma" w:hAnsi="Tahoma" w:cs="Tahoma"/>
          <w:sz w:val="20"/>
          <w:szCs w:val="20"/>
        </w:rPr>
        <w:lastRenderedPageBreak/>
        <w:t>Comercial América no invalida la legal emisión de dicho comprobante y menos aun la transacción económica producida, conforme al análisis efectuado, por lo tanto, ante su emisión legal y válida, conforme a la norma prevista podemos concluir que el documento materia de controversia no es un documento falso y/o inexacto, más aun cuando, en relación a lo manifestado, no se ha logrado destruir el principio de presunción de veracidad que reviste el documento presentado por el Postor como parte de su Propuesta Técnica.</w:t>
      </w:r>
    </w:p>
    <w:p w:rsidR="000D0849" w:rsidRPr="000D0849" w:rsidRDefault="000D0849" w:rsidP="000D0849">
      <w:pPr>
        <w:pStyle w:val="Textoindependiente"/>
        <w:widowControl w:val="0"/>
        <w:tabs>
          <w:tab w:val="left" w:pos="2410"/>
        </w:tabs>
        <w:suppressAutoHyphens/>
        <w:spacing w:after="0"/>
        <w:jc w:val="both"/>
        <w:rPr>
          <w:rFonts w:ascii="Tahoma" w:hAnsi="Tahoma" w:cs="Tahoma"/>
          <w:i/>
          <w:sz w:val="20"/>
          <w:szCs w:val="20"/>
        </w:rPr>
      </w:pPr>
    </w:p>
    <w:p w:rsidR="000D0849" w:rsidRPr="000D0849" w:rsidRDefault="000D0849" w:rsidP="000D0849">
      <w:pPr>
        <w:pStyle w:val="Textoindependiente"/>
        <w:widowControl w:val="0"/>
        <w:numPr>
          <w:ilvl w:val="0"/>
          <w:numId w:val="4"/>
        </w:numPr>
        <w:tabs>
          <w:tab w:val="left" w:pos="2410"/>
        </w:tabs>
        <w:suppressAutoHyphens/>
        <w:spacing w:after="0"/>
        <w:ind w:left="567" w:hanging="567"/>
        <w:jc w:val="both"/>
        <w:rPr>
          <w:rFonts w:ascii="Tahoma" w:hAnsi="Tahoma" w:cs="Tahoma"/>
          <w:sz w:val="20"/>
          <w:szCs w:val="20"/>
          <w:lang w:val="es-PE"/>
        </w:rPr>
      </w:pPr>
      <w:r w:rsidRPr="000D0849">
        <w:rPr>
          <w:rFonts w:ascii="Tahoma" w:hAnsi="Tahoma" w:cs="Tahoma"/>
          <w:sz w:val="20"/>
          <w:szCs w:val="20"/>
        </w:rPr>
        <w:t>En el marco de lo expresado, y para que se configure la causal materia de análisis debe probarse que el documento fue falsificado en todo o en parte, o que contiene información inexacta, lo que no ha ocurrido en el presente caso.</w:t>
      </w:r>
    </w:p>
    <w:p w:rsidR="000D0849" w:rsidRPr="000D0849" w:rsidRDefault="000D0849" w:rsidP="000D0849">
      <w:pPr>
        <w:pStyle w:val="Textoindependiente"/>
        <w:widowControl w:val="0"/>
        <w:tabs>
          <w:tab w:val="left" w:pos="2410"/>
        </w:tabs>
        <w:suppressAutoHyphens/>
        <w:spacing w:after="0"/>
        <w:jc w:val="both"/>
        <w:rPr>
          <w:rFonts w:ascii="Tahoma" w:hAnsi="Tahoma" w:cs="Tahoma"/>
          <w:sz w:val="20"/>
          <w:szCs w:val="20"/>
          <w:lang w:val="es-PE"/>
        </w:rPr>
      </w:pPr>
    </w:p>
    <w:p w:rsidR="000D0849" w:rsidRPr="000D0849" w:rsidRDefault="000D0849" w:rsidP="000D0849">
      <w:pPr>
        <w:pStyle w:val="Textoindependiente"/>
        <w:widowControl w:val="0"/>
        <w:numPr>
          <w:ilvl w:val="0"/>
          <w:numId w:val="4"/>
        </w:numPr>
        <w:tabs>
          <w:tab w:val="left" w:pos="2410"/>
        </w:tabs>
        <w:suppressAutoHyphens/>
        <w:spacing w:after="0"/>
        <w:ind w:left="567" w:hanging="567"/>
        <w:jc w:val="both"/>
        <w:rPr>
          <w:rFonts w:ascii="Tahoma" w:hAnsi="Tahoma" w:cs="Tahoma"/>
          <w:sz w:val="20"/>
          <w:szCs w:val="20"/>
          <w:lang w:val="es-PE"/>
        </w:rPr>
      </w:pPr>
      <w:r w:rsidRPr="000D0849">
        <w:rPr>
          <w:rFonts w:ascii="Tahoma" w:hAnsi="Tahoma" w:cs="Tahoma"/>
          <w:sz w:val="20"/>
          <w:szCs w:val="20"/>
        </w:rPr>
        <w:t xml:space="preserve">En ese sentido, </w:t>
      </w:r>
      <w:r w:rsidRPr="000D0849">
        <w:rPr>
          <w:rFonts w:ascii="Tahoma" w:eastAsia="MS Mincho" w:hAnsi="Tahoma" w:cs="Tahoma"/>
          <w:sz w:val="20"/>
          <w:szCs w:val="20"/>
          <w:lang w:val="es-ES_tradnl"/>
        </w:rPr>
        <w:t xml:space="preserve">conforme a lo expuesto en los párrafos precedentes, y de la valoración de las pruebas proporcionadas en el desarrollo del presente procedimiento, así como de la apreciación razonada de las mismas, </w:t>
      </w:r>
      <w:r w:rsidRPr="000D0849">
        <w:rPr>
          <w:rFonts w:ascii="Tahoma" w:hAnsi="Tahoma" w:cs="Tahoma"/>
          <w:sz w:val="20"/>
          <w:szCs w:val="20"/>
        </w:rPr>
        <w:t>este Colegiado considera que no se ha acreditado objetivamente la configuración de la infracción tipificada en el</w:t>
      </w:r>
      <w:r w:rsidRPr="000D0849">
        <w:rPr>
          <w:rFonts w:ascii="Tahoma" w:hAnsi="Tahoma" w:cs="Tahoma"/>
          <w:sz w:val="20"/>
          <w:szCs w:val="20"/>
          <w:lang w:val="es-PE"/>
        </w:rPr>
        <w:t xml:space="preserve"> literal i) </w:t>
      </w:r>
      <w:r w:rsidRPr="000D0849">
        <w:rPr>
          <w:rFonts w:ascii="Tahoma" w:hAnsi="Tahoma" w:cs="Tahoma"/>
          <w:sz w:val="20"/>
          <w:szCs w:val="20"/>
        </w:rPr>
        <w:t>del numeral 51.1 del artículo 51 de la Ley.</w:t>
      </w:r>
    </w:p>
    <w:p w:rsidR="000D0849" w:rsidRPr="000D0849" w:rsidRDefault="000D0849" w:rsidP="000D0849">
      <w:pPr>
        <w:jc w:val="both"/>
        <w:rPr>
          <w:rFonts w:ascii="Tahoma" w:hAnsi="Tahoma" w:cs="Tahoma"/>
          <w:sz w:val="20"/>
          <w:szCs w:val="20"/>
          <w:lang w:val="es-PE"/>
        </w:rPr>
      </w:pPr>
    </w:p>
    <w:p w:rsidR="000D0849" w:rsidRPr="000D0849" w:rsidRDefault="000D0849" w:rsidP="000D0849">
      <w:pPr>
        <w:tabs>
          <w:tab w:val="left" w:pos="567"/>
        </w:tabs>
        <w:autoSpaceDE w:val="0"/>
        <w:autoSpaceDN w:val="0"/>
        <w:adjustRightInd w:val="0"/>
        <w:ind w:left="567" w:hanging="1440"/>
        <w:jc w:val="both"/>
        <w:rPr>
          <w:rFonts w:ascii="Tahoma" w:eastAsiaTheme="minorHAnsi" w:hAnsi="Tahoma" w:cs="Tahoma"/>
          <w:color w:val="000000"/>
          <w:sz w:val="20"/>
          <w:szCs w:val="20"/>
          <w:lang w:eastAsia="en-US"/>
        </w:rPr>
      </w:pPr>
      <w:r w:rsidRPr="000D0849">
        <w:rPr>
          <w:rFonts w:ascii="Tahoma" w:eastAsiaTheme="minorHAnsi" w:hAnsi="Tahoma" w:cs="Tahoma"/>
          <w:color w:val="000000"/>
          <w:sz w:val="20"/>
          <w:szCs w:val="20"/>
          <w:lang w:eastAsia="en-US"/>
        </w:rPr>
        <w:tab/>
        <w:t>Por estos fundamentos, de conformidad con el informe del Vocal Ponente Dra. Ada Basulto Liewald y la intervención de los Vocales Dr. Carlos Vicente Navas Rondón y Dra. Janette Elke Ramírez Maynetto,  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0D0849" w:rsidRPr="000D0849" w:rsidRDefault="000D0849" w:rsidP="000D0849">
      <w:pPr>
        <w:ind w:firstLine="426"/>
        <w:jc w:val="both"/>
        <w:rPr>
          <w:rFonts w:ascii="Tahoma" w:hAnsi="Tahoma" w:cs="Tahoma"/>
          <w:sz w:val="20"/>
          <w:szCs w:val="20"/>
        </w:rPr>
      </w:pPr>
    </w:p>
    <w:p w:rsidR="000D0849" w:rsidRDefault="000D0849" w:rsidP="001E0143">
      <w:pPr>
        <w:ind w:firstLine="567"/>
        <w:jc w:val="both"/>
        <w:rPr>
          <w:rFonts w:ascii="Tahoma" w:hAnsi="Tahoma" w:cs="Tahoma"/>
          <w:b/>
          <w:sz w:val="20"/>
          <w:szCs w:val="20"/>
        </w:rPr>
      </w:pPr>
      <w:r w:rsidRPr="000D0849">
        <w:rPr>
          <w:rFonts w:ascii="Tahoma" w:hAnsi="Tahoma" w:cs="Tahoma"/>
          <w:b/>
          <w:sz w:val="20"/>
          <w:szCs w:val="20"/>
        </w:rPr>
        <w:t xml:space="preserve">LA SALA RESUELVE: </w:t>
      </w:r>
    </w:p>
    <w:p w:rsidR="001E0143" w:rsidRPr="001E0143" w:rsidRDefault="001E0143" w:rsidP="001E0143">
      <w:pPr>
        <w:ind w:firstLine="567"/>
        <w:jc w:val="both"/>
        <w:rPr>
          <w:rFonts w:ascii="Tahoma" w:hAnsi="Tahoma" w:cs="Tahoma"/>
          <w:b/>
          <w:sz w:val="20"/>
          <w:szCs w:val="20"/>
        </w:rPr>
      </w:pPr>
    </w:p>
    <w:p w:rsidR="000D0849" w:rsidRPr="000D0849" w:rsidRDefault="000D0849" w:rsidP="000D0849">
      <w:pPr>
        <w:pStyle w:val="Prrafodelista"/>
        <w:ind w:left="567"/>
        <w:contextualSpacing/>
        <w:jc w:val="both"/>
        <w:rPr>
          <w:rFonts w:ascii="Tahoma" w:hAnsi="Tahoma" w:cs="Tahoma"/>
          <w:sz w:val="20"/>
        </w:rPr>
      </w:pPr>
      <w:r w:rsidRPr="000D0849">
        <w:rPr>
          <w:rFonts w:ascii="Tahoma" w:hAnsi="Tahoma" w:cs="Tahoma"/>
          <w:sz w:val="20"/>
        </w:rPr>
        <w:t>Declarar no ha lugar</w:t>
      </w:r>
      <w:r w:rsidRPr="000D0849">
        <w:rPr>
          <w:rFonts w:ascii="Tahoma" w:hAnsi="Tahoma" w:cs="Tahoma"/>
          <w:b/>
          <w:sz w:val="20"/>
        </w:rPr>
        <w:t xml:space="preserve"> </w:t>
      </w:r>
      <w:r w:rsidRPr="000D0849">
        <w:rPr>
          <w:rFonts w:ascii="Tahoma" w:hAnsi="Tahoma" w:cs="Tahoma"/>
          <w:sz w:val="20"/>
        </w:rPr>
        <w:t>la imposición de sanción administrativa contra</w:t>
      </w:r>
      <w:r w:rsidRPr="000D0849">
        <w:rPr>
          <w:rFonts w:ascii="Tahoma" w:hAnsi="Tahoma" w:cs="Tahoma"/>
          <w:sz w:val="20"/>
          <w:lang w:eastAsia="es-PE"/>
        </w:rPr>
        <w:t xml:space="preserve"> el Postor </w:t>
      </w:r>
      <w:r w:rsidR="001E0143">
        <w:rPr>
          <w:rFonts w:ascii="Tahoma" w:hAnsi="Tahoma" w:cs="Tahoma"/>
          <w:sz w:val="20"/>
          <w:lang w:eastAsia="es-PE"/>
        </w:rPr>
        <w:t>“</w:t>
      </w:r>
      <w:r w:rsidRPr="000D0849">
        <w:rPr>
          <w:rFonts w:ascii="Tahoma" w:hAnsi="Tahoma" w:cs="Tahoma"/>
          <w:sz w:val="20"/>
        </w:rPr>
        <w:t>Restaurant</w:t>
      </w:r>
      <w:r w:rsidR="001E0143">
        <w:rPr>
          <w:rFonts w:ascii="Tahoma" w:hAnsi="Tahoma" w:cs="Tahoma"/>
          <w:sz w:val="20"/>
        </w:rPr>
        <w:t xml:space="preserve">e El Trébol </w:t>
      </w:r>
      <w:r w:rsidRPr="000D0849">
        <w:rPr>
          <w:rFonts w:ascii="Tahoma" w:hAnsi="Tahoma" w:cs="Tahoma"/>
          <w:sz w:val="20"/>
        </w:rPr>
        <w:t>de Amalia Félix Cavero por la presentación como parte de su Propuesta Técnica de documentación supuestamente falsa y/o inexacta en el proceso de Adjudicación Directa Selectiva Nº 001-2010-DIRESA-HRC”.</w:t>
      </w:r>
    </w:p>
    <w:p w:rsidR="000D0849" w:rsidRPr="000D0849" w:rsidRDefault="000D0849" w:rsidP="000D0849">
      <w:pPr>
        <w:pStyle w:val="Prrafodelista"/>
        <w:ind w:left="426"/>
        <w:jc w:val="both"/>
        <w:rPr>
          <w:rFonts w:ascii="Tahoma" w:hAnsi="Tahoma" w:cs="Tahoma"/>
          <w:color w:val="000000" w:themeColor="text1"/>
          <w:sz w:val="20"/>
        </w:rPr>
      </w:pPr>
    </w:p>
    <w:p w:rsidR="000D0849" w:rsidRPr="000D0849" w:rsidRDefault="000D0849" w:rsidP="000D0849">
      <w:pPr>
        <w:pStyle w:val="Textoindependiente21"/>
        <w:ind w:firstLine="567"/>
        <w:rPr>
          <w:rFonts w:cs="Tahoma"/>
          <w:sz w:val="20"/>
        </w:rPr>
      </w:pPr>
      <w:r w:rsidRPr="000D0849">
        <w:rPr>
          <w:rFonts w:cs="Tahoma"/>
          <w:sz w:val="20"/>
        </w:rPr>
        <w:t>Regístrese, comuníquese y publíquese.</w:t>
      </w:r>
    </w:p>
    <w:p w:rsidR="000D0849" w:rsidRPr="000D0849" w:rsidRDefault="000D0849" w:rsidP="000D0849">
      <w:pPr>
        <w:jc w:val="center"/>
        <w:rPr>
          <w:rFonts w:ascii="Tahoma" w:hAnsi="Tahoma" w:cs="Tahoma"/>
          <w:b/>
          <w:sz w:val="20"/>
          <w:szCs w:val="20"/>
        </w:rPr>
      </w:pPr>
    </w:p>
    <w:p w:rsidR="000D0849" w:rsidRPr="000D0849" w:rsidRDefault="000D0849" w:rsidP="000D0849">
      <w:pPr>
        <w:jc w:val="center"/>
        <w:rPr>
          <w:rFonts w:ascii="Tahoma" w:hAnsi="Tahoma" w:cs="Tahoma"/>
          <w:b/>
          <w:sz w:val="20"/>
          <w:szCs w:val="20"/>
        </w:rPr>
      </w:pPr>
    </w:p>
    <w:p w:rsidR="000D0849" w:rsidRDefault="000D0849" w:rsidP="001E0143">
      <w:pPr>
        <w:rPr>
          <w:rFonts w:ascii="Tahoma" w:hAnsi="Tahoma" w:cs="Tahoma"/>
          <w:b/>
          <w:sz w:val="20"/>
          <w:szCs w:val="20"/>
        </w:rPr>
      </w:pPr>
    </w:p>
    <w:p w:rsidR="001E0143" w:rsidRPr="000D0849" w:rsidRDefault="001E0143" w:rsidP="001E0143">
      <w:pPr>
        <w:rPr>
          <w:rFonts w:ascii="Tahoma" w:hAnsi="Tahoma" w:cs="Tahoma"/>
          <w:b/>
          <w:sz w:val="20"/>
          <w:szCs w:val="20"/>
        </w:rPr>
      </w:pPr>
    </w:p>
    <w:p w:rsidR="000D0849" w:rsidRPr="000D0849" w:rsidRDefault="000D0849" w:rsidP="000D0849">
      <w:pPr>
        <w:jc w:val="center"/>
        <w:rPr>
          <w:rFonts w:ascii="Tahoma" w:hAnsi="Tahoma" w:cs="Tahoma"/>
          <w:b/>
          <w:sz w:val="20"/>
          <w:szCs w:val="20"/>
        </w:rPr>
      </w:pPr>
    </w:p>
    <w:p w:rsidR="000D0849" w:rsidRPr="000D0849" w:rsidRDefault="000D0849" w:rsidP="000D0849">
      <w:pPr>
        <w:jc w:val="center"/>
        <w:rPr>
          <w:rFonts w:ascii="Tahoma" w:hAnsi="Tahoma" w:cs="Tahoma"/>
          <w:b/>
          <w:shadow/>
          <w:sz w:val="20"/>
          <w:szCs w:val="20"/>
          <w:lang w:val="pt-BR"/>
        </w:rPr>
      </w:pPr>
      <w:r w:rsidRPr="000D0849">
        <w:rPr>
          <w:rFonts w:ascii="Tahoma" w:hAnsi="Tahoma" w:cs="Tahoma"/>
          <w:b/>
          <w:shadow/>
          <w:sz w:val="20"/>
          <w:szCs w:val="20"/>
          <w:lang w:val="pt-BR"/>
        </w:rPr>
        <w:t>PRESIDENTE</w:t>
      </w:r>
    </w:p>
    <w:p w:rsidR="000D0849" w:rsidRPr="000D0849" w:rsidRDefault="000D0849" w:rsidP="000D0849">
      <w:pPr>
        <w:ind w:firstLine="708"/>
        <w:rPr>
          <w:rFonts w:ascii="Tahoma" w:hAnsi="Tahoma" w:cs="Tahoma"/>
          <w:b/>
          <w:shadow/>
          <w:sz w:val="20"/>
          <w:szCs w:val="20"/>
          <w:lang w:val="pt-BR"/>
        </w:rPr>
      </w:pPr>
    </w:p>
    <w:p w:rsidR="000D0849" w:rsidRPr="000D0849" w:rsidRDefault="000D0849" w:rsidP="000D0849">
      <w:pPr>
        <w:ind w:firstLine="708"/>
        <w:rPr>
          <w:rFonts w:ascii="Tahoma" w:hAnsi="Tahoma" w:cs="Tahoma"/>
          <w:b/>
          <w:shadow/>
          <w:sz w:val="20"/>
          <w:szCs w:val="20"/>
          <w:lang w:val="pt-BR"/>
        </w:rPr>
      </w:pPr>
      <w:r w:rsidRPr="000D0849">
        <w:rPr>
          <w:rFonts w:ascii="Tahoma" w:hAnsi="Tahoma" w:cs="Tahoma"/>
          <w:b/>
          <w:shadow/>
          <w:sz w:val="20"/>
          <w:szCs w:val="20"/>
          <w:lang w:val="pt-BR"/>
        </w:rPr>
        <w:t xml:space="preserve">VOCAL           </w:t>
      </w:r>
      <w:r w:rsidRPr="000D0849">
        <w:rPr>
          <w:rFonts w:ascii="Tahoma" w:hAnsi="Tahoma" w:cs="Tahoma"/>
          <w:b/>
          <w:shadow/>
          <w:sz w:val="20"/>
          <w:szCs w:val="20"/>
          <w:lang w:val="pt-BR"/>
        </w:rPr>
        <w:tab/>
      </w:r>
      <w:r w:rsidRPr="000D0849">
        <w:rPr>
          <w:rFonts w:ascii="Tahoma" w:hAnsi="Tahoma" w:cs="Tahoma"/>
          <w:b/>
          <w:shadow/>
          <w:sz w:val="20"/>
          <w:szCs w:val="20"/>
          <w:lang w:val="pt-BR"/>
        </w:rPr>
        <w:tab/>
        <w:t xml:space="preserve">                                                                 VOCAL</w:t>
      </w:r>
    </w:p>
    <w:p w:rsidR="000D0849" w:rsidRPr="000D0849" w:rsidRDefault="000D0849" w:rsidP="000D0849">
      <w:pPr>
        <w:rPr>
          <w:rFonts w:ascii="Tahoma" w:hAnsi="Tahoma" w:cs="Tahoma"/>
          <w:sz w:val="20"/>
          <w:szCs w:val="20"/>
          <w:lang w:val="pt-BR"/>
        </w:rPr>
      </w:pPr>
    </w:p>
    <w:p w:rsidR="000D0849" w:rsidRPr="000D0849" w:rsidRDefault="000D0849" w:rsidP="000D0849">
      <w:pPr>
        <w:jc w:val="both"/>
        <w:rPr>
          <w:rFonts w:ascii="Tahoma" w:hAnsi="Tahoma" w:cs="Tahoma"/>
          <w:sz w:val="20"/>
          <w:szCs w:val="20"/>
          <w:lang w:val="pt-BR"/>
        </w:rPr>
      </w:pPr>
      <w:r w:rsidRPr="000D0849">
        <w:rPr>
          <w:rFonts w:ascii="Tahoma" w:hAnsi="Tahoma" w:cs="Tahoma"/>
          <w:sz w:val="20"/>
          <w:szCs w:val="20"/>
          <w:lang w:val="pt-BR"/>
        </w:rPr>
        <w:t>ss.</w:t>
      </w:r>
    </w:p>
    <w:p w:rsidR="000D0849" w:rsidRPr="000D0849" w:rsidRDefault="000D0849" w:rsidP="000D0849">
      <w:pPr>
        <w:pStyle w:val="Textoindependiente21"/>
        <w:tabs>
          <w:tab w:val="left" w:pos="5250"/>
        </w:tabs>
        <w:rPr>
          <w:rFonts w:cs="Tahoma"/>
          <w:sz w:val="20"/>
          <w:lang w:val="pt-BR"/>
        </w:rPr>
      </w:pPr>
      <w:r w:rsidRPr="000D0849">
        <w:rPr>
          <w:rFonts w:cs="Tahoma"/>
          <w:sz w:val="20"/>
          <w:lang w:val="pt-BR"/>
        </w:rPr>
        <w:t>Navas Rondón.</w:t>
      </w:r>
    </w:p>
    <w:p w:rsidR="000D0849" w:rsidRPr="000D0849" w:rsidRDefault="000D0849" w:rsidP="000D0849">
      <w:pPr>
        <w:pStyle w:val="Textoindependiente21"/>
        <w:tabs>
          <w:tab w:val="left" w:pos="5250"/>
        </w:tabs>
        <w:rPr>
          <w:rFonts w:cs="Tahoma"/>
          <w:sz w:val="20"/>
          <w:lang w:val="pt-BR"/>
        </w:rPr>
      </w:pPr>
      <w:r w:rsidRPr="000D0849">
        <w:rPr>
          <w:rFonts w:cs="Tahoma"/>
          <w:sz w:val="20"/>
        </w:rPr>
        <w:t>Ramírez Maynetto.</w:t>
      </w:r>
    </w:p>
    <w:p w:rsidR="001D5C36" w:rsidRPr="001E0143" w:rsidRDefault="000D0849" w:rsidP="001E0143">
      <w:pPr>
        <w:pStyle w:val="Textoindependiente21"/>
        <w:tabs>
          <w:tab w:val="left" w:pos="5250"/>
        </w:tabs>
        <w:rPr>
          <w:rFonts w:cs="Tahoma"/>
          <w:sz w:val="20"/>
          <w:lang w:val="pt-BR"/>
        </w:rPr>
      </w:pPr>
      <w:r w:rsidRPr="000D0849">
        <w:rPr>
          <w:rFonts w:cs="Tahoma"/>
          <w:sz w:val="20"/>
          <w:lang w:val="pt-BR"/>
        </w:rPr>
        <w:t>Basulto Liewald.</w:t>
      </w:r>
    </w:p>
    <w:sectPr w:rsidR="001D5C36" w:rsidRPr="001E0143" w:rsidSect="00B96798">
      <w:headerReference w:type="default" r:id="rId7"/>
      <w:footerReference w:type="default" r:id="rId8"/>
      <w:pgSz w:w="11906" w:h="16838"/>
      <w:pgMar w:top="3402" w:right="1701" w:bottom="113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407F" w:rsidRDefault="0049407F" w:rsidP="000D0849">
      <w:r>
        <w:separator/>
      </w:r>
    </w:p>
  </w:endnote>
  <w:endnote w:type="continuationSeparator" w:id="1">
    <w:p w:rsidR="0049407F" w:rsidRDefault="0049407F" w:rsidP="000D084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74763"/>
      <w:docPartObj>
        <w:docPartGallery w:val="Page Numbers (Bottom of Page)"/>
        <w:docPartUnique/>
      </w:docPartObj>
    </w:sdtPr>
    <w:sdtContent>
      <w:sdt>
        <w:sdtPr>
          <w:id w:val="216747541"/>
          <w:docPartObj>
            <w:docPartGallery w:val="Page Numbers (Top of Page)"/>
            <w:docPartUnique/>
          </w:docPartObj>
        </w:sdtPr>
        <w:sdtContent>
          <w:p w:rsidR="0035353E" w:rsidRDefault="00565113">
            <w:pPr>
              <w:pStyle w:val="Piedepgina"/>
              <w:jc w:val="center"/>
            </w:pPr>
            <w:r>
              <w:t xml:space="preserve">Página </w:t>
            </w:r>
            <w:r w:rsidR="006E1DC5">
              <w:rPr>
                <w:b/>
              </w:rPr>
              <w:fldChar w:fldCharType="begin"/>
            </w:r>
            <w:r>
              <w:rPr>
                <w:b/>
              </w:rPr>
              <w:instrText>PAGE</w:instrText>
            </w:r>
            <w:r w:rsidR="006E1DC5">
              <w:rPr>
                <w:b/>
              </w:rPr>
              <w:fldChar w:fldCharType="separate"/>
            </w:r>
            <w:r w:rsidR="005D7F62">
              <w:rPr>
                <w:b/>
                <w:noProof/>
              </w:rPr>
              <w:t>1</w:t>
            </w:r>
            <w:r w:rsidR="006E1DC5">
              <w:rPr>
                <w:b/>
              </w:rPr>
              <w:fldChar w:fldCharType="end"/>
            </w:r>
            <w:r>
              <w:t xml:space="preserve"> de </w:t>
            </w:r>
            <w:r w:rsidR="006E1DC5">
              <w:rPr>
                <w:b/>
              </w:rPr>
              <w:fldChar w:fldCharType="begin"/>
            </w:r>
            <w:r>
              <w:rPr>
                <w:b/>
              </w:rPr>
              <w:instrText>NUMPAGES</w:instrText>
            </w:r>
            <w:r w:rsidR="006E1DC5">
              <w:rPr>
                <w:b/>
              </w:rPr>
              <w:fldChar w:fldCharType="separate"/>
            </w:r>
            <w:r w:rsidR="005D7F62">
              <w:rPr>
                <w:b/>
                <w:noProof/>
              </w:rPr>
              <w:t>10</w:t>
            </w:r>
            <w:r w:rsidR="006E1DC5">
              <w:rPr>
                <w:b/>
              </w:rPr>
              <w:fldChar w:fldCharType="end"/>
            </w:r>
          </w:p>
        </w:sdtContent>
      </w:sdt>
    </w:sdtContent>
  </w:sdt>
  <w:p w:rsidR="0035353E" w:rsidRDefault="0049407F">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407F" w:rsidRDefault="0049407F" w:rsidP="000D0849">
      <w:r>
        <w:separator/>
      </w:r>
    </w:p>
  </w:footnote>
  <w:footnote w:type="continuationSeparator" w:id="1">
    <w:p w:rsidR="0049407F" w:rsidRDefault="0049407F" w:rsidP="000D0849">
      <w:r>
        <w:continuationSeparator/>
      </w:r>
    </w:p>
  </w:footnote>
  <w:footnote w:id="2">
    <w:p w:rsidR="000D0849" w:rsidRDefault="000D0849" w:rsidP="000D0849">
      <w:pPr>
        <w:pStyle w:val="Textonotapie"/>
        <w:rPr>
          <w:rFonts w:ascii="Tahoma" w:hAnsi="Tahoma" w:cs="Tahoma"/>
          <w:i/>
          <w:sz w:val="18"/>
          <w:szCs w:val="18"/>
        </w:rPr>
      </w:pPr>
      <w:r w:rsidRPr="000D0849">
        <w:rPr>
          <w:rStyle w:val="Refdenotaalpie"/>
          <w:b/>
          <w:i/>
          <w:sz w:val="18"/>
          <w:szCs w:val="18"/>
        </w:rPr>
        <w:footnoteRef/>
      </w:r>
      <w:r w:rsidRPr="000D0849">
        <w:rPr>
          <w:i/>
          <w:sz w:val="18"/>
          <w:szCs w:val="18"/>
        </w:rPr>
        <w:t xml:space="preserve"> </w:t>
      </w:r>
      <w:r w:rsidRPr="000D0849">
        <w:rPr>
          <w:rFonts w:ascii="Tahoma" w:hAnsi="Tahoma" w:cs="Tahoma"/>
          <w:i/>
          <w:sz w:val="18"/>
          <w:szCs w:val="18"/>
        </w:rPr>
        <w:t xml:space="preserve">Cfr. </w:t>
      </w:r>
      <w:hyperlink r:id="rId1" w:history="1">
        <w:r w:rsidRPr="000D0849">
          <w:rPr>
            <w:rFonts w:ascii="Tahoma" w:hAnsi="Tahoma" w:cs="Tahoma"/>
            <w:i/>
            <w:sz w:val="18"/>
            <w:szCs w:val="18"/>
          </w:rPr>
          <w:t>http://www.sunat.gob.pe/legislacion/oficios/2005/oficios/o0502005.htm</w:t>
        </w:r>
      </w:hyperlink>
      <w:r w:rsidRPr="000D0849">
        <w:rPr>
          <w:rFonts w:ascii="Tahoma" w:hAnsi="Tahoma" w:cs="Tahoma"/>
          <w:i/>
          <w:sz w:val="18"/>
          <w:szCs w:val="18"/>
        </w:rPr>
        <w:t>, Oficio N` 050-2005-SUNAT/2B0000, de fecha 5 de mayo del 2005 suscrito por la Intendente Nacional Jurídico de la SUNAT, Dra. Clara Urteaga Goldstein, publicado el 20.12.2003.</w:t>
      </w:r>
    </w:p>
    <w:p w:rsidR="000D0849" w:rsidRPr="000D0849" w:rsidRDefault="000D0849" w:rsidP="000D0849">
      <w:pPr>
        <w:pStyle w:val="Textonotapie"/>
        <w:rPr>
          <w:i/>
          <w:sz w:val="18"/>
          <w:szCs w:val="18"/>
        </w:rPr>
      </w:pPr>
    </w:p>
  </w:footnote>
  <w:footnote w:id="3">
    <w:p w:rsidR="000D0849" w:rsidRPr="000D0849" w:rsidRDefault="000D0849" w:rsidP="000D0849">
      <w:pPr>
        <w:jc w:val="both"/>
        <w:rPr>
          <w:rFonts w:ascii="Tahoma" w:hAnsi="Tahoma" w:cs="Tahoma"/>
          <w:i/>
          <w:sz w:val="18"/>
          <w:szCs w:val="18"/>
        </w:rPr>
      </w:pPr>
      <w:r w:rsidRPr="000D0849">
        <w:rPr>
          <w:rStyle w:val="Refdenotaalpie"/>
          <w:b/>
          <w:i/>
          <w:sz w:val="18"/>
          <w:szCs w:val="18"/>
        </w:rPr>
        <w:footnoteRef/>
      </w:r>
      <w:r w:rsidRPr="000D0849">
        <w:rPr>
          <w:i/>
          <w:sz w:val="18"/>
          <w:szCs w:val="18"/>
        </w:rPr>
        <w:t xml:space="preserve"> </w:t>
      </w:r>
      <w:r w:rsidRPr="000D0849">
        <w:rPr>
          <w:rFonts w:ascii="Tahoma" w:hAnsi="Tahoma" w:cs="Tahoma"/>
          <w:i/>
          <w:sz w:val="18"/>
          <w:szCs w:val="18"/>
        </w:rPr>
        <w:t>Constituyen infracciones relacionadas con la obligación de emitir, otorgar y exigir comprobantes de pago:</w:t>
      </w:r>
    </w:p>
    <w:p w:rsidR="000D0849" w:rsidRPr="000D0849" w:rsidRDefault="000D0849" w:rsidP="000D0849">
      <w:pPr>
        <w:jc w:val="both"/>
        <w:rPr>
          <w:rFonts w:ascii="Tahoma" w:hAnsi="Tahoma" w:cs="Tahoma"/>
          <w:i/>
          <w:sz w:val="18"/>
          <w:szCs w:val="18"/>
        </w:rPr>
      </w:pPr>
    </w:p>
    <w:p w:rsidR="000D0849" w:rsidRPr="000D0849" w:rsidRDefault="000D0849" w:rsidP="000D0849">
      <w:pPr>
        <w:jc w:val="both"/>
        <w:rPr>
          <w:rFonts w:ascii="Tahoma" w:hAnsi="Tahoma" w:cs="Tahoma"/>
          <w:i/>
          <w:sz w:val="18"/>
          <w:szCs w:val="18"/>
        </w:rPr>
      </w:pPr>
      <w:r w:rsidRPr="000D0849">
        <w:rPr>
          <w:rFonts w:ascii="Tahoma" w:hAnsi="Tahoma" w:cs="Tahoma"/>
          <w:i/>
          <w:sz w:val="18"/>
          <w:szCs w:val="18"/>
        </w:rPr>
        <w:t>No emitir y/o no otorgar comprobantes de pago o documentos complementarios a éstos, distintos a la guía de remisión.</w:t>
      </w:r>
    </w:p>
    <w:p w:rsidR="000D0849" w:rsidRPr="000D0849" w:rsidRDefault="000D0849" w:rsidP="000D0849">
      <w:pPr>
        <w:jc w:val="both"/>
        <w:rPr>
          <w:rFonts w:ascii="Tahoma" w:hAnsi="Tahoma" w:cs="Tahoma"/>
          <w:i/>
          <w:sz w:val="18"/>
          <w:szCs w:val="18"/>
        </w:rPr>
      </w:pPr>
    </w:p>
    <w:p w:rsidR="000D0849" w:rsidRPr="000D0849" w:rsidRDefault="000D0849" w:rsidP="000D0849">
      <w:pPr>
        <w:jc w:val="both"/>
        <w:rPr>
          <w:rFonts w:ascii="Tahoma" w:hAnsi="Tahoma" w:cs="Tahoma"/>
          <w:i/>
          <w:sz w:val="18"/>
          <w:szCs w:val="18"/>
        </w:rPr>
      </w:pPr>
      <w:r w:rsidRPr="000D0849">
        <w:rPr>
          <w:rFonts w:ascii="Tahoma" w:hAnsi="Tahoma" w:cs="Tahoma"/>
          <w:i/>
          <w:sz w:val="18"/>
          <w:szCs w:val="18"/>
        </w:rPr>
        <w:t>Emitir y/u otorgar documentos que no reúnen los requisitos y características para ser considerados como comprobantes de pago o como documentos complementarios a éstos, distintos a la guía de remisión.</w:t>
      </w:r>
    </w:p>
    <w:p w:rsidR="000D0849" w:rsidRPr="000D0849" w:rsidRDefault="000D0849" w:rsidP="000D0849">
      <w:pPr>
        <w:jc w:val="both"/>
        <w:rPr>
          <w:rFonts w:ascii="Tahoma" w:hAnsi="Tahoma" w:cs="Tahoma"/>
          <w:i/>
          <w:sz w:val="18"/>
          <w:szCs w:val="18"/>
        </w:rPr>
      </w:pPr>
    </w:p>
    <w:p w:rsidR="000D0849" w:rsidRPr="000D0849" w:rsidRDefault="000D0849" w:rsidP="000D0849">
      <w:pPr>
        <w:jc w:val="both"/>
        <w:rPr>
          <w:rFonts w:ascii="Tahoma" w:hAnsi="Tahoma" w:cs="Tahoma"/>
          <w:i/>
          <w:sz w:val="18"/>
          <w:szCs w:val="18"/>
        </w:rPr>
      </w:pPr>
      <w:r w:rsidRPr="000D0849">
        <w:rPr>
          <w:rFonts w:ascii="Tahoma" w:hAnsi="Tahoma" w:cs="Tahoma"/>
          <w:i/>
          <w:sz w:val="18"/>
          <w:szCs w:val="18"/>
        </w:rPr>
        <w:t>Emitir y/u otorgar comprobantes de pago o documentos complementarios a éstos, distintos a la guía de remisión, que no correspondan al régimen del deudor tributario o al tipo de operación realizada de conformidad con las leyes, reglamentos o Resolución de Superintendencia de la SUNAT.</w:t>
      </w:r>
    </w:p>
    <w:p w:rsidR="000D0849" w:rsidRPr="000D0849" w:rsidRDefault="000D0849" w:rsidP="000D0849">
      <w:pPr>
        <w:jc w:val="both"/>
        <w:rPr>
          <w:rFonts w:ascii="Tahoma" w:hAnsi="Tahoma" w:cs="Tahoma"/>
          <w:i/>
          <w:sz w:val="18"/>
          <w:szCs w:val="18"/>
        </w:rPr>
      </w:pPr>
      <w:r w:rsidRPr="000D0849">
        <w:rPr>
          <w:rFonts w:ascii="Tahoma" w:hAnsi="Tahoma" w:cs="Tahoma"/>
          <w:i/>
          <w:sz w:val="18"/>
          <w:szCs w:val="18"/>
        </w:rPr>
        <w:t>Transportar bienes y/o pasajeros sin el correspondiente comprobante de pago, guía de remisión, manifiesto de pasajeros y/u otro documento previsto por las normas para sustentar el traslado.</w:t>
      </w:r>
    </w:p>
    <w:p w:rsidR="000D0849" w:rsidRPr="000D0849" w:rsidRDefault="000D0849" w:rsidP="000D0849">
      <w:pPr>
        <w:jc w:val="both"/>
        <w:rPr>
          <w:rFonts w:ascii="Tahoma" w:hAnsi="Tahoma" w:cs="Tahoma"/>
          <w:i/>
          <w:sz w:val="18"/>
          <w:szCs w:val="18"/>
        </w:rPr>
      </w:pPr>
    </w:p>
    <w:p w:rsidR="000D0849" w:rsidRPr="000D0849" w:rsidRDefault="000D0849" w:rsidP="000D0849">
      <w:pPr>
        <w:jc w:val="both"/>
        <w:rPr>
          <w:rFonts w:ascii="Tahoma" w:hAnsi="Tahoma" w:cs="Tahoma"/>
          <w:i/>
          <w:sz w:val="18"/>
          <w:szCs w:val="18"/>
        </w:rPr>
      </w:pPr>
      <w:r w:rsidRPr="000D0849">
        <w:rPr>
          <w:rFonts w:ascii="Tahoma" w:hAnsi="Tahoma" w:cs="Tahoma"/>
          <w:i/>
          <w:sz w:val="18"/>
          <w:szCs w:val="18"/>
        </w:rPr>
        <w:t>Transportar bienes y/o pasajeros con documentos que no reúnan los requisitos y características para ser considerados como comprobantes de pago o guías de remisión, manifiesto de pasajeros y/u otro documento que carezca de validez.</w:t>
      </w:r>
    </w:p>
    <w:p w:rsidR="000D0849" w:rsidRPr="000D0849" w:rsidRDefault="000D0849" w:rsidP="000D0849">
      <w:pPr>
        <w:jc w:val="both"/>
        <w:rPr>
          <w:rFonts w:ascii="Tahoma" w:hAnsi="Tahoma" w:cs="Tahoma"/>
          <w:i/>
          <w:sz w:val="18"/>
          <w:szCs w:val="18"/>
        </w:rPr>
      </w:pPr>
    </w:p>
    <w:p w:rsidR="000D0849" w:rsidRPr="000D0849" w:rsidRDefault="000D0849" w:rsidP="000D0849">
      <w:pPr>
        <w:jc w:val="both"/>
        <w:rPr>
          <w:rFonts w:ascii="Tahoma" w:hAnsi="Tahoma" w:cs="Tahoma"/>
          <w:i/>
          <w:sz w:val="18"/>
          <w:szCs w:val="18"/>
        </w:rPr>
      </w:pPr>
      <w:r w:rsidRPr="000D0849">
        <w:rPr>
          <w:rFonts w:ascii="Tahoma" w:hAnsi="Tahoma" w:cs="Tahoma"/>
          <w:i/>
          <w:sz w:val="18"/>
          <w:szCs w:val="18"/>
        </w:rPr>
        <w:t>No obtener el comprador los comprobantes de pago u otros documentos complementarios a éstos, distintos a la guía de remisión, por las compras efectuadas, según las normas sobre la materia.</w:t>
      </w:r>
    </w:p>
    <w:p w:rsidR="000D0849" w:rsidRPr="000D0849" w:rsidRDefault="000D0849" w:rsidP="000D0849">
      <w:pPr>
        <w:jc w:val="both"/>
        <w:rPr>
          <w:rFonts w:ascii="Tahoma" w:hAnsi="Tahoma" w:cs="Tahoma"/>
          <w:i/>
          <w:sz w:val="18"/>
          <w:szCs w:val="18"/>
        </w:rPr>
      </w:pPr>
    </w:p>
    <w:p w:rsidR="000D0849" w:rsidRPr="000D0849" w:rsidRDefault="000D0849" w:rsidP="000D0849">
      <w:pPr>
        <w:jc w:val="both"/>
        <w:rPr>
          <w:rFonts w:ascii="Tahoma" w:hAnsi="Tahoma" w:cs="Tahoma"/>
          <w:i/>
          <w:sz w:val="18"/>
          <w:szCs w:val="18"/>
        </w:rPr>
      </w:pPr>
      <w:r w:rsidRPr="000D0849">
        <w:rPr>
          <w:rFonts w:ascii="Tahoma" w:hAnsi="Tahoma" w:cs="Tahoma"/>
          <w:i/>
          <w:sz w:val="18"/>
          <w:szCs w:val="18"/>
        </w:rPr>
        <w:t>No obtener el usuario los comprobantes de pago u otros documentos complementarios a éstos, distintos a la guía de remisión, por los servicios que le fueran prestados, según las normas sobre la materia.</w:t>
      </w:r>
    </w:p>
    <w:p w:rsidR="000D0849" w:rsidRPr="000D0849" w:rsidRDefault="000D0849" w:rsidP="000D0849">
      <w:pPr>
        <w:jc w:val="both"/>
        <w:rPr>
          <w:rFonts w:ascii="Tahoma" w:hAnsi="Tahoma" w:cs="Tahoma"/>
          <w:i/>
          <w:sz w:val="18"/>
          <w:szCs w:val="18"/>
        </w:rPr>
      </w:pPr>
    </w:p>
    <w:p w:rsidR="000D0849" w:rsidRPr="000D0849" w:rsidRDefault="000D0849" w:rsidP="000D0849">
      <w:pPr>
        <w:jc w:val="both"/>
        <w:rPr>
          <w:rFonts w:ascii="Tahoma" w:hAnsi="Tahoma" w:cs="Tahoma"/>
          <w:i/>
          <w:sz w:val="18"/>
          <w:szCs w:val="18"/>
        </w:rPr>
      </w:pPr>
      <w:r w:rsidRPr="000D0849">
        <w:rPr>
          <w:rFonts w:ascii="Tahoma" w:hAnsi="Tahoma" w:cs="Tahoma"/>
          <w:i/>
          <w:sz w:val="18"/>
          <w:szCs w:val="18"/>
        </w:rPr>
        <w:t>Remitir bienes sin el comprobante de pago, guía de remisión y/u otro documento previsto por las normas para sustentar la remisión.</w:t>
      </w:r>
    </w:p>
    <w:p w:rsidR="000D0849" w:rsidRPr="000D0849" w:rsidRDefault="000D0849" w:rsidP="000D0849">
      <w:pPr>
        <w:jc w:val="both"/>
        <w:rPr>
          <w:rFonts w:ascii="Tahoma" w:hAnsi="Tahoma" w:cs="Tahoma"/>
          <w:i/>
          <w:sz w:val="18"/>
          <w:szCs w:val="18"/>
        </w:rPr>
      </w:pPr>
    </w:p>
    <w:p w:rsidR="000D0849" w:rsidRPr="000D0849" w:rsidRDefault="000D0849" w:rsidP="000D0849">
      <w:pPr>
        <w:jc w:val="both"/>
        <w:rPr>
          <w:rFonts w:ascii="Tahoma" w:hAnsi="Tahoma" w:cs="Tahoma"/>
          <w:i/>
          <w:sz w:val="18"/>
          <w:szCs w:val="18"/>
        </w:rPr>
      </w:pPr>
      <w:r w:rsidRPr="000D0849">
        <w:rPr>
          <w:rFonts w:ascii="Tahoma" w:hAnsi="Tahoma" w:cs="Tahoma"/>
          <w:i/>
          <w:sz w:val="18"/>
          <w:szCs w:val="18"/>
        </w:rPr>
        <w:t>Remitir bienes con documentos que no reúnan los requisitos y características para ser considerados como comprobantes de pago, guías de remisión y/u otro documento que carezca de validez.</w:t>
      </w:r>
    </w:p>
    <w:p w:rsidR="000D0849" w:rsidRPr="000D0849" w:rsidRDefault="000D0849" w:rsidP="000D0849">
      <w:pPr>
        <w:jc w:val="both"/>
        <w:rPr>
          <w:rFonts w:ascii="Tahoma" w:hAnsi="Tahoma" w:cs="Tahoma"/>
          <w:i/>
          <w:sz w:val="18"/>
          <w:szCs w:val="18"/>
        </w:rPr>
      </w:pPr>
    </w:p>
    <w:p w:rsidR="000D0849" w:rsidRPr="000D0849" w:rsidRDefault="000D0849" w:rsidP="000D0849">
      <w:pPr>
        <w:jc w:val="both"/>
        <w:rPr>
          <w:rFonts w:ascii="Tahoma" w:hAnsi="Tahoma" w:cs="Tahoma"/>
          <w:i/>
          <w:sz w:val="18"/>
          <w:szCs w:val="18"/>
        </w:rPr>
      </w:pPr>
      <w:r w:rsidRPr="000D0849">
        <w:rPr>
          <w:rFonts w:ascii="Tahoma" w:hAnsi="Tahoma" w:cs="Tahoma"/>
          <w:i/>
          <w:sz w:val="18"/>
          <w:szCs w:val="18"/>
        </w:rPr>
        <w:t>Remitir bienes con comprobantes de pago, guía de remisión u otros documentos complementarios que no correspondan al régimen del deudor tributario o al tipo de operación realizada de conformidad con las normas sobre la materia.</w:t>
      </w:r>
    </w:p>
    <w:p w:rsidR="000D0849" w:rsidRPr="000D0849" w:rsidRDefault="000D0849" w:rsidP="000D0849">
      <w:pPr>
        <w:jc w:val="both"/>
        <w:rPr>
          <w:rFonts w:ascii="Tahoma" w:hAnsi="Tahoma" w:cs="Tahoma"/>
          <w:i/>
          <w:sz w:val="18"/>
          <w:szCs w:val="18"/>
        </w:rPr>
      </w:pPr>
    </w:p>
    <w:p w:rsidR="000D0849" w:rsidRPr="000D0849" w:rsidRDefault="000D0849" w:rsidP="000D0849">
      <w:pPr>
        <w:jc w:val="both"/>
        <w:rPr>
          <w:rFonts w:ascii="Tahoma" w:hAnsi="Tahoma" w:cs="Tahoma"/>
          <w:i/>
          <w:sz w:val="18"/>
          <w:szCs w:val="18"/>
        </w:rPr>
      </w:pPr>
      <w:r w:rsidRPr="000D0849">
        <w:rPr>
          <w:rFonts w:ascii="Tahoma" w:hAnsi="Tahoma" w:cs="Tahoma"/>
          <w:i/>
          <w:sz w:val="18"/>
          <w:szCs w:val="18"/>
        </w:rPr>
        <w:t>Utilizar máquinas registradoras u otros sistemas de emisión no declarados o sin la autorización de la Administración Tributaria para emitir comprobantes de pago o documentos complementarios a éstos.</w:t>
      </w:r>
    </w:p>
    <w:p w:rsidR="000D0849" w:rsidRPr="000D0849" w:rsidRDefault="000D0849" w:rsidP="000D0849">
      <w:pPr>
        <w:jc w:val="both"/>
        <w:rPr>
          <w:rFonts w:ascii="Tahoma" w:hAnsi="Tahoma" w:cs="Tahoma"/>
          <w:i/>
          <w:sz w:val="18"/>
          <w:szCs w:val="18"/>
        </w:rPr>
      </w:pPr>
    </w:p>
    <w:p w:rsidR="000D0849" w:rsidRPr="000D0849" w:rsidRDefault="000D0849" w:rsidP="000D0849">
      <w:pPr>
        <w:jc w:val="both"/>
        <w:rPr>
          <w:rFonts w:ascii="Tahoma" w:hAnsi="Tahoma" w:cs="Tahoma"/>
          <w:i/>
          <w:sz w:val="18"/>
          <w:szCs w:val="18"/>
        </w:rPr>
      </w:pPr>
      <w:r w:rsidRPr="000D0849">
        <w:rPr>
          <w:rFonts w:ascii="Tahoma" w:hAnsi="Tahoma" w:cs="Tahoma"/>
          <w:i/>
          <w:sz w:val="18"/>
          <w:szCs w:val="18"/>
        </w:rPr>
        <w:t>Utilizar máquinas registradoras u otros sistemas de emisión en establecimientos distintos del declarado ante la SUNAT para su utilización.</w:t>
      </w:r>
    </w:p>
    <w:p w:rsidR="000D0849" w:rsidRPr="000D0849" w:rsidRDefault="000D0849" w:rsidP="000D0849">
      <w:pPr>
        <w:jc w:val="both"/>
        <w:rPr>
          <w:rFonts w:ascii="Tahoma" w:hAnsi="Tahoma" w:cs="Tahoma"/>
          <w:i/>
          <w:sz w:val="18"/>
          <w:szCs w:val="18"/>
        </w:rPr>
      </w:pPr>
    </w:p>
    <w:p w:rsidR="000D0849" w:rsidRPr="000D0849" w:rsidRDefault="000D0849" w:rsidP="000D0849">
      <w:pPr>
        <w:jc w:val="both"/>
        <w:rPr>
          <w:rFonts w:ascii="Tahoma" w:hAnsi="Tahoma" w:cs="Tahoma"/>
          <w:i/>
          <w:sz w:val="18"/>
          <w:szCs w:val="18"/>
        </w:rPr>
      </w:pPr>
      <w:r w:rsidRPr="000D0849">
        <w:rPr>
          <w:rFonts w:ascii="Tahoma" w:hAnsi="Tahoma" w:cs="Tahoma"/>
          <w:i/>
          <w:sz w:val="18"/>
          <w:szCs w:val="18"/>
        </w:rPr>
        <w:t>Usar máquinas automáticas para la transferencia de bienes o prestación de servicios que no cumplan con las disposiciones establecidas en el Reglamento de Comprobantes de Pago, excepto las referidas a la obligación de emitir y/u otorgar dichos documentos.</w:t>
      </w:r>
    </w:p>
    <w:p w:rsidR="000D0849" w:rsidRPr="000D0849" w:rsidRDefault="000D0849" w:rsidP="000D0849">
      <w:pPr>
        <w:jc w:val="both"/>
        <w:rPr>
          <w:rFonts w:ascii="Tahoma" w:hAnsi="Tahoma" w:cs="Tahoma"/>
          <w:i/>
          <w:sz w:val="18"/>
          <w:szCs w:val="18"/>
        </w:rPr>
      </w:pPr>
    </w:p>
    <w:p w:rsidR="000D0849" w:rsidRPr="000D0849" w:rsidRDefault="000D0849" w:rsidP="000D0849">
      <w:pPr>
        <w:jc w:val="both"/>
        <w:rPr>
          <w:rFonts w:ascii="Tahoma" w:hAnsi="Tahoma" w:cs="Tahoma"/>
          <w:i/>
          <w:sz w:val="18"/>
          <w:szCs w:val="18"/>
        </w:rPr>
      </w:pPr>
      <w:r w:rsidRPr="000D0849">
        <w:rPr>
          <w:rFonts w:ascii="Tahoma" w:hAnsi="Tahoma" w:cs="Tahoma"/>
          <w:i/>
          <w:sz w:val="18"/>
          <w:szCs w:val="18"/>
        </w:rPr>
        <w:t>Remitir o poseer bienes sin los precintos adheridos a los productos o signos de control visibles, según lo establecido en las normas tributarias.</w:t>
      </w:r>
    </w:p>
    <w:p w:rsidR="000D0849" w:rsidRPr="000D0849" w:rsidRDefault="000D0849" w:rsidP="000D0849">
      <w:pPr>
        <w:jc w:val="both"/>
        <w:rPr>
          <w:rFonts w:ascii="Tahoma" w:hAnsi="Tahoma" w:cs="Tahoma"/>
          <w:i/>
          <w:sz w:val="18"/>
          <w:szCs w:val="18"/>
        </w:rPr>
      </w:pPr>
    </w:p>
    <w:p w:rsidR="000D0849" w:rsidRPr="000D0849" w:rsidRDefault="000D0849" w:rsidP="000D0849">
      <w:pPr>
        <w:jc w:val="both"/>
        <w:rPr>
          <w:rFonts w:ascii="Tahoma" w:hAnsi="Tahoma" w:cs="Tahoma"/>
          <w:i/>
          <w:sz w:val="18"/>
          <w:szCs w:val="18"/>
        </w:rPr>
      </w:pPr>
      <w:r w:rsidRPr="000D0849">
        <w:rPr>
          <w:rFonts w:ascii="Tahoma" w:hAnsi="Tahoma" w:cs="Tahoma"/>
          <w:i/>
          <w:sz w:val="18"/>
          <w:szCs w:val="18"/>
        </w:rPr>
        <w:t xml:space="preserve">No sustentar la posesión de bienes mediante los comprobantes de pago y/u otro documento previsto por las normas sobre la materia, que permitan sustentar costo o gasto, que acrediten su adquisición. </w:t>
      </w:r>
    </w:p>
    <w:p w:rsidR="000D0849" w:rsidRPr="000D0849" w:rsidRDefault="000D0849" w:rsidP="000D0849">
      <w:pPr>
        <w:jc w:val="both"/>
        <w:rPr>
          <w:rFonts w:ascii="Tahoma" w:hAnsi="Tahoma" w:cs="Tahoma"/>
          <w:i/>
          <w:sz w:val="18"/>
          <w:szCs w:val="18"/>
        </w:rPr>
      </w:pPr>
    </w:p>
    <w:p w:rsidR="000D0849" w:rsidRPr="000D0849" w:rsidRDefault="000D0849" w:rsidP="000D0849">
      <w:pPr>
        <w:jc w:val="both"/>
        <w:rPr>
          <w:rFonts w:ascii="Tahoma" w:hAnsi="Tahoma" w:cs="Tahoma"/>
          <w:i/>
          <w:sz w:val="18"/>
          <w:szCs w:val="18"/>
        </w:rPr>
      </w:pPr>
      <w:r w:rsidRPr="000D0849">
        <w:rPr>
          <w:rFonts w:ascii="Tahoma" w:hAnsi="Tahoma" w:cs="Tahoma"/>
          <w:i/>
          <w:sz w:val="18"/>
          <w:szCs w:val="18"/>
        </w:rPr>
        <w:t>Sustentar la posesión de bienes con documentos que no reúnen los requisitos y características para ser considerados comprobantes de pago según las normas sobre la materia y/u otro documento que carezca de validez.</w:t>
      </w:r>
    </w:p>
    <w:p w:rsidR="000D0849" w:rsidRPr="000D0849" w:rsidRDefault="000D0849" w:rsidP="000D0849">
      <w:pPr>
        <w:jc w:val="both"/>
        <w:rPr>
          <w:rFonts w:ascii="Tahoma" w:hAnsi="Tahoma" w:cs="Tahoma"/>
          <w:i/>
          <w:sz w:val="18"/>
          <w:szCs w:val="18"/>
        </w:rPr>
      </w:pPr>
    </w:p>
    <w:p w:rsidR="000D0849" w:rsidRPr="000D0849" w:rsidRDefault="000D0849" w:rsidP="000D0849">
      <w:pPr>
        <w:pStyle w:val="Textonotaalfinal"/>
        <w:jc w:val="both"/>
        <w:rPr>
          <w:rFonts w:ascii="Tahoma" w:hAnsi="Tahoma" w:cs="Tahoma"/>
          <w:i/>
          <w:sz w:val="18"/>
          <w:szCs w:val="18"/>
        </w:rPr>
      </w:pPr>
    </w:p>
    <w:p w:rsidR="000D0849" w:rsidRPr="000D0849" w:rsidRDefault="000D0849" w:rsidP="000D0849">
      <w:pPr>
        <w:jc w:val="both"/>
        <w:rPr>
          <w:rFonts w:ascii="Tahoma" w:hAnsi="Tahoma" w:cs="Tahoma"/>
          <w:i/>
          <w:sz w:val="18"/>
          <w:szCs w:val="18"/>
        </w:rPr>
      </w:pPr>
    </w:p>
    <w:p w:rsidR="000D0849" w:rsidRPr="000D0849" w:rsidRDefault="000D0849" w:rsidP="000D0849">
      <w:pPr>
        <w:pStyle w:val="Textonotapie"/>
        <w:rPr>
          <w:i/>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F62" w:rsidRDefault="005D7F62" w:rsidP="005D7F62">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5D7F62" w:rsidRDefault="005D7F62" w:rsidP="005D7F62">
    <w:pPr>
      <w:pStyle w:val="Encabezado"/>
      <w:rPr>
        <w:noProof/>
      </w:rPr>
    </w:pPr>
  </w:p>
  <w:p w:rsidR="005D7F62" w:rsidRDefault="005D7F62" w:rsidP="005D7F62">
    <w:pPr>
      <w:pStyle w:val="Encabezado"/>
      <w:jc w:val="center"/>
      <w:rPr>
        <w:rFonts w:ascii="Monotype Corsiva" w:hAnsi="Monotype Corsiva"/>
        <w:b/>
        <w:sz w:val="44"/>
        <w:szCs w:val="44"/>
      </w:rPr>
    </w:pPr>
  </w:p>
  <w:p w:rsidR="005D7F62" w:rsidRDefault="005D7F62" w:rsidP="005D7F62">
    <w:pPr>
      <w:pStyle w:val="Encabezado"/>
      <w:jc w:val="center"/>
      <w:rPr>
        <w:rFonts w:ascii="Calibri" w:hAnsi="Calibri"/>
        <w:sz w:val="22"/>
        <w:szCs w:val="22"/>
      </w:rPr>
    </w:pPr>
    <w:r>
      <w:rPr>
        <w:rFonts w:ascii="Monotype Corsiva" w:hAnsi="Monotype Corsiva"/>
        <w:b/>
        <w:sz w:val="44"/>
        <w:szCs w:val="44"/>
      </w:rPr>
      <w:t xml:space="preserve">Resolución Nº   </w:t>
    </w:r>
    <w:r>
      <w:rPr>
        <w:rFonts w:ascii="Tahoma" w:hAnsi="Tahoma" w:cs="Tahoma"/>
        <w:b/>
        <w:sz w:val="44"/>
        <w:szCs w:val="44"/>
      </w:rPr>
      <w:t>1314-2011-TC-S1</w:t>
    </w:r>
  </w:p>
  <w:p w:rsidR="005D7F62" w:rsidRDefault="005D7F62">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022FEA"/>
    <w:multiLevelType w:val="hybridMultilevel"/>
    <w:tmpl w:val="E29404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3B7B237C"/>
    <w:multiLevelType w:val="hybridMultilevel"/>
    <w:tmpl w:val="39EA2C98"/>
    <w:lvl w:ilvl="0" w:tplc="BA7CDBCC">
      <w:start w:val="1"/>
      <w:numFmt w:val="decimal"/>
      <w:lvlText w:val="%1."/>
      <w:lvlJc w:val="left"/>
      <w:pPr>
        <w:tabs>
          <w:tab w:val="num" w:pos="720"/>
        </w:tabs>
        <w:ind w:left="720" w:hanging="360"/>
      </w:pPr>
      <w:rPr>
        <w:b/>
      </w:rPr>
    </w:lvl>
    <w:lvl w:ilvl="1" w:tplc="0C0A0019">
      <w:start w:val="1"/>
      <w:numFmt w:val="lowerLetter"/>
      <w:lvlText w:val="%2."/>
      <w:lvlJc w:val="left"/>
      <w:pPr>
        <w:tabs>
          <w:tab w:val="num" w:pos="1440"/>
        </w:tabs>
        <w:ind w:left="1440" w:hanging="360"/>
      </w:pPr>
    </w:lvl>
    <w:lvl w:ilvl="2" w:tplc="709221C6">
      <w:start w:val="1"/>
      <w:numFmt w:val="lowerLetter"/>
      <w:lvlText w:val="%3)"/>
      <w:lvlJc w:val="left"/>
      <w:pPr>
        <w:tabs>
          <w:tab w:val="num" w:pos="2345"/>
        </w:tabs>
        <w:ind w:left="2345"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674E6DDC"/>
    <w:multiLevelType w:val="hybridMultilevel"/>
    <w:tmpl w:val="A9EC355C"/>
    <w:lvl w:ilvl="0" w:tplc="6BECAA84">
      <w:start w:val="1"/>
      <w:numFmt w:val="decimal"/>
      <w:lvlText w:val="%1."/>
      <w:lvlJc w:val="left"/>
      <w:pPr>
        <w:ind w:left="900" w:hanging="360"/>
      </w:pPr>
      <w:rPr>
        <w:rFonts w:hint="default"/>
        <w:b/>
      </w:rPr>
    </w:lvl>
    <w:lvl w:ilvl="1" w:tplc="0C0A0019" w:tentative="1">
      <w:start w:val="1"/>
      <w:numFmt w:val="lowerLetter"/>
      <w:lvlText w:val="%2."/>
      <w:lvlJc w:val="left"/>
      <w:pPr>
        <w:ind w:left="1620" w:hanging="360"/>
      </w:pPr>
    </w:lvl>
    <w:lvl w:ilvl="2" w:tplc="0C0A001B" w:tentative="1">
      <w:start w:val="1"/>
      <w:numFmt w:val="lowerRoman"/>
      <w:lvlText w:val="%3."/>
      <w:lvlJc w:val="right"/>
      <w:pPr>
        <w:ind w:left="2340" w:hanging="180"/>
      </w:pPr>
    </w:lvl>
    <w:lvl w:ilvl="3" w:tplc="0C0A000F" w:tentative="1">
      <w:start w:val="1"/>
      <w:numFmt w:val="decimal"/>
      <w:lvlText w:val="%4."/>
      <w:lvlJc w:val="left"/>
      <w:pPr>
        <w:ind w:left="3060" w:hanging="360"/>
      </w:pPr>
    </w:lvl>
    <w:lvl w:ilvl="4" w:tplc="0C0A0019" w:tentative="1">
      <w:start w:val="1"/>
      <w:numFmt w:val="lowerLetter"/>
      <w:lvlText w:val="%5."/>
      <w:lvlJc w:val="left"/>
      <w:pPr>
        <w:ind w:left="3780" w:hanging="360"/>
      </w:pPr>
    </w:lvl>
    <w:lvl w:ilvl="5" w:tplc="0C0A001B" w:tentative="1">
      <w:start w:val="1"/>
      <w:numFmt w:val="lowerRoman"/>
      <w:lvlText w:val="%6."/>
      <w:lvlJc w:val="right"/>
      <w:pPr>
        <w:ind w:left="4500" w:hanging="180"/>
      </w:pPr>
    </w:lvl>
    <w:lvl w:ilvl="6" w:tplc="0C0A000F" w:tentative="1">
      <w:start w:val="1"/>
      <w:numFmt w:val="decimal"/>
      <w:lvlText w:val="%7."/>
      <w:lvlJc w:val="left"/>
      <w:pPr>
        <w:ind w:left="5220" w:hanging="360"/>
      </w:pPr>
    </w:lvl>
    <w:lvl w:ilvl="7" w:tplc="0C0A0019" w:tentative="1">
      <w:start w:val="1"/>
      <w:numFmt w:val="lowerLetter"/>
      <w:lvlText w:val="%8."/>
      <w:lvlJc w:val="left"/>
      <w:pPr>
        <w:ind w:left="5940" w:hanging="360"/>
      </w:pPr>
    </w:lvl>
    <w:lvl w:ilvl="8" w:tplc="0C0A001B" w:tentative="1">
      <w:start w:val="1"/>
      <w:numFmt w:val="lowerRoman"/>
      <w:lvlText w:val="%9."/>
      <w:lvlJc w:val="right"/>
      <w:pPr>
        <w:ind w:left="6660" w:hanging="180"/>
      </w:pPr>
    </w:lvl>
  </w:abstractNum>
  <w:abstractNum w:abstractNumId="3">
    <w:nsid w:val="79836EF7"/>
    <w:multiLevelType w:val="hybridMultilevel"/>
    <w:tmpl w:val="B68CA64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7EC759A6"/>
    <w:multiLevelType w:val="hybridMultilevel"/>
    <w:tmpl w:val="460CCEAC"/>
    <w:lvl w:ilvl="0" w:tplc="472E12E2">
      <w:start w:val="1"/>
      <w:numFmt w:val="decimal"/>
      <w:lvlText w:val="%1."/>
      <w:lvlJc w:val="left"/>
      <w:pPr>
        <w:tabs>
          <w:tab w:val="num" w:pos="360"/>
        </w:tabs>
        <w:ind w:left="360" w:hanging="360"/>
      </w:pPr>
      <w:rPr>
        <w:rFonts w:hint="default"/>
        <w:b/>
        <w:sz w:val="22"/>
        <w:szCs w:val="22"/>
      </w:rPr>
    </w:lvl>
    <w:lvl w:ilvl="1" w:tplc="C1A43016">
      <w:start w:val="1"/>
      <w:numFmt w:val="lowerLetter"/>
      <w:lvlText w:val="%2."/>
      <w:lvlJc w:val="left"/>
      <w:pPr>
        <w:tabs>
          <w:tab w:val="num" w:pos="1080"/>
        </w:tabs>
        <w:ind w:left="1080" w:hanging="360"/>
      </w:pPr>
      <w:rPr>
        <w:rFonts w:hint="default"/>
        <w:b/>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0D0849"/>
    <w:rsid w:val="000D0849"/>
    <w:rsid w:val="00196655"/>
    <w:rsid w:val="001E0143"/>
    <w:rsid w:val="0049407F"/>
    <w:rsid w:val="00496AD0"/>
    <w:rsid w:val="00565113"/>
    <w:rsid w:val="005D7F62"/>
    <w:rsid w:val="006E1DC5"/>
    <w:rsid w:val="00A6444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0849"/>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0D0849"/>
    <w:pPr>
      <w:spacing w:after="120"/>
    </w:pPr>
    <w:rPr>
      <w:sz w:val="16"/>
      <w:szCs w:val="16"/>
      <w:lang w:val="es-PE"/>
    </w:rPr>
  </w:style>
  <w:style w:type="character" w:customStyle="1" w:styleId="Textoindependiente3Car">
    <w:name w:val="Texto independiente 3 Car"/>
    <w:basedOn w:val="Fuentedeprrafopredeter"/>
    <w:link w:val="Textoindependiente3"/>
    <w:rsid w:val="000D0849"/>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0D0849"/>
    <w:pPr>
      <w:jc w:val="both"/>
    </w:pPr>
    <w:rPr>
      <w:rFonts w:ascii="Tahoma" w:hAnsi="Tahoma"/>
      <w:sz w:val="22"/>
      <w:szCs w:val="20"/>
    </w:rPr>
  </w:style>
  <w:style w:type="paragraph" w:styleId="Prrafodelista">
    <w:name w:val="List Paragraph"/>
    <w:basedOn w:val="Normal"/>
    <w:uiPriority w:val="34"/>
    <w:qFormat/>
    <w:rsid w:val="000D0849"/>
    <w:pPr>
      <w:widowControl w:val="0"/>
      <w:suppressAutoHyphens/>
      <w:ind w:left="708"/>
    </w:pPr>
    <w:rPr>
      <w:szCs w:val="20"/>
      <w:lang w:val="es-ES_tradnl"/>
    </w:rPr>
  </w:style>
  <w:style w:type="paragraph" w:styleId="Piedepgina">
    <w:name w:val="footer"/>
    <w:basedOn w:val="Normal"/>
    <w:link w:val="PiedepginaCar"/>
    <w:uiPriority w:val="99"/>
    <w:unhideWhenUsed/>
    <w:rsid w:val="000D0849"/>
    <w:pPr>
      <w:tabs>
        <w:tab w:val="center" w:pos="4252"/>
        <w:tab w:val="right" w:pos="8504"/>
      </w:tabs>
    </w:pPr>
  </w:style>
  <w:style w:type="character" w:customStyle="1" w:styleId="PiedepginaCar">
    <w:name w:val="Pie de página Car"/>
    <w:basedOn w:val="Fuentedeprrafopredeter"/>
    <w:link w:val="Piedepgina"/>
    <w:uiPriority w:val="99"/>
    <w:rsid w:val="000D0849"/>
    <w:rPr>
      <w:rFonts w:ascii="Times New Roman" w:eastAsia="Times New Roman" w:hAnsi="Times New Roman" w:cs="Times New Roman"/>
      <w:sz w:val="24"/>
      <w:szCs w:val="24"/>
      <w:lang w:eastAsia="es-ES"/>
    </w:rPr>
  </w:style>
  <w:style w:type="table" w:styleId="Tablaconcuadrcula">
    <w:name w:val="Table Grid"/>
    <w:basedOn w:val="Tablanormal"/>
    <w:uiPriority w:val="59"/>
    <w:rsid w:val="000D084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independiente">
    <w:name w:val="Body Text"/>
    <w:basedOn w:val="Normal"/>
    <w:link w:val="TextoindependienteCar"/>
    <w:uiPriority w:val="99"/>
    <w:rsid w:val="000D0849"/>
    <w:pPr>
      <w:spacing w:after="120"/>
    </w:pPr>
  </w:style>
  <w:style w:type="character" w:customStyle="1" w:styleId="TextoindependienteCar">
    <w:name w:val="Texto independiente Car"/>
    <w:basedOn w:val="Fuentedeprrafopredeter"/>
    <w:link w:val="Textoindependiente"/>
    <w:uiPriority w:val="99"/>
    <w:rsid w:val="000D0849"/>
    <w:rPr>
      <w:rFonts w:ascii="Times New Roman" w:eastAsia="Times New Roman" w:hAnsi="Times New Roman" w:cs="Times New Roman"/>
      <w:sz w:val="24"/>
      <w:szCs w:val="24"/>
      <w:lang w:eastAsia="es-ES"/>
    </w:rPr>
  </w:style>
  <w:style w:type="character" w:styleId="Textoennegrita">
    <w:name w:val="Strong"/>
    <w:basedOn w:val="Fuentedeprrafopredeter"/>
    <w:qFormat/>
    <w:rsid w:val="000D0849"/>
    <w:rPr>
      <w:b/>
      <w:bCs/>
    </w:rPr>
  </w:style>
  <w:style w:type="paragraph" w:styleId="Textonotaalfinal">
    <w:name w:val="endnote text"/>
    <w:basedOn w:val="Normal"/>
    <w:link w:val="TextonotaalfinalCar"/>
    <w:uiPriority w:val="99"/>
    <w:semiHidden/>
    <w:unhideWhenUsed/>
    <w:rsid w:val="000D0849"/>
    <w:rPr>
      <w:sz w:val="20"/>
      <w:szCs w:val="20"/>
    </w:rPr>
  </w:style>
  <w:style w:type="character" w:customStyle="1" w:styleId="TextonotaalfinalCar">
    <w:name w:val="Texto nota al final Car"/>
    <w:basedOn w:val="Fuentedeprrafopredeter"/>
    <w:link w:val="Textonotaalfinal"/>
    <w:uiPriority w:val="99"/>
    <w:semiHidden/>
    <w:rsid w:val="000D0849"/>
    <w:rPr>
      <w:rFonts w:ascii="Times New Roman" w:eastAsia="Times New Roman" w:hAnsi="Times New Roman" w:cs="Times New Roman"/>
      <w:sz w:val="20"/>
      <w:szCs w:val="20"/>
      <w:lang w:eastAsia="es-ES"/>
    </w:rPr>
  </w:style>
  <w:style w:type="paragraph" w:styleId="Textonotapie">
    <w:name w:val="footnote text"/>
    <w:basedOn w:val="Normal"/>
    <w:link w:val="TextonotapieCar"/>
    <w:uiPriority w:val="99"/>
    <w:semiHidden/>
    <w:unhideWhenUsed/>
    <w:rsid w:val="000D0849"/>
    <w:rPr>
      <w:sz w:val="20"/>
      <w:szCs w:val="20"/>
    </w:rPr>
  </w:style>
  <w:style w:type="character" w:customStyle="1" w:styleId="TextonotapieCar">
    <w:name w:val="Texto nota pie Car"/>
    <w:basedOn w:val="Fuentedeprrafopredeter"/>
    <w:link w:val="Textonotapie"/>
    <w:uiPriority w:val="99"/>
    <w:semiHidden/>
    <w:rsid w:val="000D0849"/>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0D0849"/>
    <w:rPr>
      <w:vertAlign w:val="superscript"/>
    </w:rPr>
  </w:style>
  <w:style w:type="paragraph" w:styleId="Encabezado">
    <w:name w:val="header"/>
    <w:aliases w:val="maria,h"/>
    <w:basedOn w:val="Normal"/>
    <w:link w:val="EncabezadoCar"/>
    <w:uiPriority w:val="99"/>
    <w:semiHidden/>
    <w:unhideWhenUsed/>
    <w:rsid w:val="005D7F62"/>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5D7F62"/>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84305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sunat.gob.pe/legislacion/oficios/2005/oficios/o0502005.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10</Pages>
  <Words>3863</Words>
  <Characters>21250</Characters>
  <Application>Microsoft Office Word</Application>
  <DocSecurity>0</DocSecurity>
  <Lines>177</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mcervantes</dc:creator>
  <cp:keywords/>
  <dc:description/>
  <cp:lastModifiedBy>bcaceres</cp:lastModifiedBy>
  <cp:revision>2</cp:revision>
  <cp:lastPrinted>2011-07-25T20:16:00Z</cp:lastPrinted>
  <dcterms:created xsi:type="dcterms:W3CDTF">2011-07-25T20:03:00Z</dcterms:created>
  <dcterms:modified xsi:type="dcterms:W3CDTF">2011-08-15T16:34:00Z</dcterms:modified>
</cp:coreProperties>
</file>